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7E3" w:rsidRPr="00002E86" w:rsidRDefault="005F47E3" w:rsidP="005F47E3">
      <w:pPr>
        <w:pStyle w:val="1"/>
        <w:tabs>
          <w:tab w:val="left" w:pos="567"/>
        </w:tabs>
        <w:spacing w:before="120" w:after="120"/>
        <w:rPr>
          <w:w w:val="100"/>
          <w:sz w:val="24"/>
        </w:rPr>
      </w:pPr>
      <w:bookmarkStart w:id="0" w:name="_Toc40256192"/>
      <w:bookmarkStart w:id="1" w:name="_Toc61170714"/>
      <w:bookmarkStart w:id="2" w:name="_GoBack"/>
      <w:bookmarkEnd w:id="2"/>
      <w:r w:rsidRPr="00927784">
        <w:rPr>
          <w:w w:val="100"/>
          <w:sz w:val="24"/>
        </w:rPr>
        <w:t>Основные факты и выводы</w:t>
      </w:r>
      <w:bookmarkEnd w:id="0"/>
      <w:bookmarkEnd w:id="1"/>
    </w:p>
    <w:tbl>
      <w:tblPr>
        <w:tblW w:w="5095"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641"/>
        <w:gridCol w:w="1921"/>
        <w:gridCol w:w="1928"/>
        <w:gridCol w:w="2043"/>
      </w:tblGrid>
      <w:tr w:rsidR="005F47E3" w:rsidRPr="00002E86" w:rsidTr="004F4888">
        <w:trPr>
          <w:trHeight w:val="20"/>
        </w:trPr>
        <w:tc>
          <w:tcPr>
            <w:tcW w:w="3614" w:type="dxa"/>
            <w:vAlign w:val="center"/>
          </w:tcPr>
          <w:p w:rsidR="005F47E3" w:rsidRPr="00002E86" w:rsidRDefault="005F47E3" w:rsidP="004F4888">
            <w:pPr>
              <w:spacing w:line="216" w:lineRule="auto"/>
              <w:rPr>
                <w:sz w:val="22"/>
                <w:szCs w:val="22"/>
              </w:rPr>
            </w:pPr>
            <w:r w:rsidRPr="00002E86">
              <w:rPr>
                <w:sz w:val="22"/>
                <w:szCs w:val="22"/>
              </w:rPr>
              <w:t>Порядковый номер отчета об оценке</w:t>
            </w:r>
          </w:p>
        </w:tc>
        <w:tc>
          <w:tcPr>
            <w:tcW w:w="5849" w:type="dxa"/>
            <w:gridSpan w:val="3"/>
            <w:vAlign w:val="center"/>
          </w:tcPr>
          <w:p w:rsidR="005F47E3" w:rsidRPr="00002E86" w:rsidRDefault="005F47E3" w:rsidP="004F4888">
            <w:pPr>
              <w:spacing w:line="216" w:lineRule="auto"/>
              <w:rPr>
                <w:sz w:val="22"/>
                <w:szCs w:val="22"/>
              </w:rPr>
            </w:pPr>
            <w:r w:rsidRPr="001A529C">
              <w:rPr>
                <w:sz w:val="22"/>
                <w:szCs w:val="22"/>
              </w:rPr>
              <w:t>11555 05/21 1</w:t>
            </w:r>
          </w:p>
        </w:tc>
      </w:tr>
      <w:tr w:rsidR="005F47E3" w:rsidRPr="00002E86" w:rsidTr="004F4888">
        <w:trPr>
          <w:trHeight w:val="20"/>
        </w:trPr>
        <w:tc>
          <w:tcPr>
            <w:tcW w:w="3614" w:type="dxa"/>
            <w:vAlign w:val="center"/>
          </w:tcPr>
          <w:p w:rsidR="005F47E3" w:rsidRPr="00002E86" w:rsidRDefault="005F47E3" w:rsidP="004F4888">
            <w:pPr>
              <w:spacing w:line="216" w:lineRule="auto"/>
              <w:rPr>
                <w:sz w:val="22"/>
                <w:szCs w:val="22"/>
              </w:rPr>
            </w:pPr>
            <w:r w:rsidRPr="00002E86">
              <w:rPr>
                <w:sz w:val="22"/>
                <w:szCs w:val="22"/>
              </w:rPr>
              <w:t>Дата составления отчета об оценке</w:t>
            </w:r>
          </w:p>
        </w:tc>
        <w:tc>
          <w:tcPr>
            <w:tcW w:w="5849" w:type="dxa"/>
            <w:gridSpan w:val="3"/>
            <w:vAlign w:val="center"/>
          </w:tcPr>
          <w:p w:rsidR="005F47E3" w:rsidRPr="001C34C7" w:rsidRDefault="005F47E3" w:rsidP="004F4888">
            <w:pPr>
              <w:spacing w:line="216" w:lineRule="auto"/>
              <w:rPr>
                <w:sz w:val="22"/>
                <w:szCs w:val="22"/>
              </w:rPr>
            </w:pPr>
            <w:r w:rsidRPr="001C34C7">
              <w:rPr>
                <w:sz w:val="22"/>
                <w:szCs w:val="22"/>
              </w:rPr>
              <w:t>12.05.2021</w:t>
            </w:r>
          </w:p>
        </w:tc>
      </w:tr>
      <w:tr w:rsidR="005F47E3" w:rsidRPr="00002E86" w:rsidTr="004F4888">
        <w:trPr>
          <w:trHeight w:val="20"/>
        </w:trPr>
        <w:tc>
          <w:tcPr>
            <w:tcW w:w="3614" w:type="dxa"/>
            <w:vAlign w:val="center"/>
          </w:tcPr>
          <w:p w:rsidR="005F47E3" w:rsidRPr="00002E86" w:rsidRDefault="005F47E3" w:rsidP="004F4888">
            <w:pPr>
              <w:spacing w:line="216" w:lineRule="auto"/>
              <w:rPr>
                <w:sz w:val="22"/>
                <w:szCs w:val="22"/>
              </w:rPr>
            </w:pPr>
            <w:r w:rsidRPr="00002E86">
              <w:rPr>
                <w:sz w:val="22"/>
                <w:szCs w:val="22"/>
              </w:rPr>
              <w:t>Основание для проведения оценки</w:t>
            </w:r>
          </w:p>
        </w:tc>
        <w:tc>
          <w:tcPr>
            <w:tcW w:w="5849" w:type="dxa"/>
            <w:gridSpan w:val="3"/>
            <w:vAlign w:val="center"/>
          </w:tcPr>
          <w:p w:rsidR="005F47E3" w:rsidRPr="007B67B2" w:rsidRDefault="005F47E3" w:rsidP="004F4888">
            <w:pPr>
              <w:spacing w:line="216" w:lineRule="auto"/>
              <w:rPr>
                <w:sz w:val="22"/>
                <w:szCs w:val="22"/>
              </w:rPr>
            </w:pPr>
            <w:r w:rsidRPr="007B67B2">
              <w:rPr>
                <w:sz w:val="22"/>
                <w:szCs w:val="22"/>
              </w:rPr>
              <w:t xml:space="preserve">Договор на оказание услуг по оценке Д20-04-21/02 от 20.04.2021 года (далее – Договор) и Дополнительное </w:t>
            </w:r>
            <w:r>
              <w:rPr>
                <w:sz w:val="22"/>
                <w:szCs w:val="22"/>
              </w:rPr>
              <w:t>с</w:t>
            </w:r>
            <w:r w:rsidRPr="007B67B2">
              <w:rPr>
                <w:sz w:val="22"/>
                <w:szCs w:val="22"/>
              </w:rPr>
              <w:t xml:space="preserve">оглашение № 1 </w:t>
            </w:r>
            <w:r>
              <w:rPr>
                <w:sz w:val="22"/>
                <w:szCs w:val="22"/>
              </w:rPr>
              <w:t>к Договору от 11.05.2021</w:t>
            </w:r>
            <w:r w:rsidRPr="007B67B2">
              <w:rPr>
                <w:sz w:val="22"/>
                <w:szCs w:val="22"/>
              </w:rPr>
              <w:t xml:space="preserve"> </w:t>
            </w:r>
          </w:p>
        </w:tc>
      </w:tr>
      <w:tr w:rsidR="005F47E3" w:rsidRPr="00002E86" w:rsidTr="004F4888">
        <w:trPr>
          <w:trHeight w:val="20"/>
        </w:trPr>
        <w:tc>
          <w:tcPr>
            <w:tcW w:w="3614" w:type="dxa"/>
            <w:vAlign w:val="center"/>
          </w:tcPr>
          <w:p w:rsidR="005F47E3" w:rsidRPr="00002E86" w:rsidRDefault="005F47E3" w:rsidP="004F4888">
            <w:pPr>
              <w:spacing w:line="216" w:lineRule="auto"/>
              <w:rPr>
                <w:sz w:val="22"/>
                <w:szCs w:val="22"/>
              </w:rPr>
            </w:pPr>
            <w:r w:rsidRPr="00002E86">
              <w:rPr>
                <w:sz w:val="22"/>
                <w:szCs w:val="22"/>
              </w:rPr>
              <w:t>Дата определения стоимости Объекта оценки (дата оценки)</w:t>
            </w:r>
          </w:p>
        </w:tc>
        <w:tc>
          <w:tcPr>
            <w:tcW w:w="5849" w:type="dxa"/>
            <w:gridSpan w:val="3"/>
            <w:vAlign w:val="center"/>
          </w:tcPr>
          <w:p w:rsidR="005F47E3" w:rsidRPr="00002E86" w:rsidRDefault="005F47E3" w:rsidP="004F4888">
            <w:pPr>
              <w:keepNext/>
              <w:spacing w:line="216" w:lineRule="auto"/>
              <w:rPr>
                <w:sz w:val="22"/>
                <w:szCs w:val="22"/>
              </w:rPr>
            </w:pPr>
            <w:r>
              <w:rPr>
                <w:sz w:val="22"/>
                <w:szCs w:val="22"/>
              </w:rPr>
              <w:t>26.03.2021</w:t>
            </w:r>
          </w:p>
        </w:tc>
      </w:tr>
      <w:tr w:rsidR="005F47E3" w:rsidRPr="00002E86" w:rsidTr="004F4888">
        <w:trPr>
          <w:trHeight w:val="20"/>
        </w:trPr>
        <w:tc>
          <w:tcPr>
            <w:tcW w:w="3614" w:type="dxa"/>
            <w:vAlign w:val="center"/>
          </w:tcPr>
          <w:p w:rsidR="005F47E3" w:rsidRPr="00002E86" w:rsidRDefault="005F47E3" w:rsidP="004F4888">
            <w:pPr>
              <w:spacing w:line="216" w:lineRule="auto"/>
              <w:rPr>
                <w:sz w:val="22"/>
                <w:szCs w:val="22"/>
              </w:rPr>
            </w:pPr>
            <w:r w:rsidRPr="00002E86">
              <w:rPr>
                <w:sz w:val="22"/>
                <w:szCs w:val="22"/>
              </w:rPr>
              <w:t>Период проведения оценки</w:t>
            </w:r>
          </w:p>
        </w:tc>
        <w:tc>
          <w:tcPr>
            <w:tcW w:w="5849" w:type="dxa"/>
            <w:gridSpan w:val="3"/>
            <w:vAlign w:val="center"/>
          </w:tcPr>
          <w:p w:rsidR="005F47E3" w:rsidRPr="001C34C7" w:rsidRDefault="005F47E3" w:rsidP="004F4888">
            <w:pPr>
              <w:keepNext/>
              <w:spacing w:line="216" w:lineRule="auto"/>
              <w:rPr>
                <w:sz w:val="22"/>
                <w:szCs w:val="22"/>
              </w:rPr>
            </w:pPr>
            <w:r w:rsidRPr="001C34C7">
              <w:rPr>
                <w:sz w:val="22"/>
                <w:szCs w:val="22"/>
              </w:rPr>
              <w:t>20.04.202</w:t>
            </w:r>
            <w:r>
              <w:rPr>
                <w:sz w:val="22"/>
                <w:szCs w:val="22"/>
              </w:rPr>
              <w:t>1</w:t>
            </w:r>
            <w:r w:rsidRPr="001C34C7">
              <w:rPr>
                <w:sz w:val="22"/>
                <w:szCs w:val="22"/>
              </w:rPr>
              <w:t xml:space="preserve"> – 12.05.2021</w:t>
            </w:r>
          </w:p>
        </w:tc>
      </w:tr>
      <w:tr w:rsidR="005F47E3" w:rsidRPr="00002E86" w:rsidTr="004F4888">
        <w:trPr>
          <w:trHeight w:val="20"/>
        </w:trPr>
        <w:tc>
          <w:tcPr>
            <w:tcW w:w="3614" w:type="dxa"/>
            <w:vAlign w:val="center"/>
          </w:tcPr>
          <w:p w:rsidR="005F47E3" w:rsidRPr="00002E86" w:rsidRDefault="005F47E3" w:rsidP="004F4888">
            <w:pPr>
              <w:spacing w:line="216" w:lineRule="auto"/>
              <w:rPr>
                <w:sz w:val="22"/>
                <w:szCs w:val="22"/>
              </w:rPr>
            </w:pPr>
            <w:r w:rsidRPr="00002E86">
              <w:rPr>
                <w:sz w:val="22"/>
                <w:szCs w:val="22"/>
              </w:rPr>
              <w:t>Официальные курсы валют, установленные Банком России на дату оценки</w:t>
            </w:r>
          </w:p>
        </w:tc>
        <w:tc>
          <w:tcPr>
            <w:tcW w:w="5849" w:type="dxa"/>
            <w:gridSpan w:val="3"/>
            <w:vAlign w:val="center"/>
          </w:tcPr>
          <w:p w:rsidR="005F47E3" w:rsidRPr="001A529C" w:rsidRDefault="005F47E3" w:rsidP="004F4888">
            <w:pPr>
              <w:spacing w:line="216" w:lineRule="auto"/>
              <w:rPr>
                <w:sz w:val="22"/>
                <w:szCs w:val="22"/>
              </w:rPr>
            </w:pPr>
            <w:r w:rsidRPr="001A529C">
              <w:rPr>
                <w:sz w:val="22"/>
                <w:szCs w:val="22"/>
              </w:rPr>
              <w:t xml:space="preserve">Курс доллара США – </w:t>
            </w:r>
            <w:r w:rsidRPr="002E0262">
              <w:rPr>
                <w:sz w:val="22"/>
                <w:szCs w:val="22"/>
              </w:rPr>
              <w:t>76,1741</w:t>
            </w:r>
            <w:r w:rsidRPr="001A529C">
              <w:rPr>
                <w:sz w:val="22"/>
                <w:szCs w:val="22"/>
              </w:rPr>
              <w:t xml:space="preserve"> руб. за 1 долл. США</w:t>
            </w:r>
          </w:p>
          <w:p w:rsidR="005F47E3" w:rsidRPr="00002E86" w:rsidRDefault="005F47E3" w:rsidP="004F4888">
            <w:pPr>
              <w:spacing w:line="216" w:lineRule="auto"/>
              <w:rPr>
                <w:sz w:val="22"/>
                <w:szCs w:val="22"/>
              </w:rPr>
            </w:pPr>
            <w:r w:rsidRPr="001A529C">
              <w:rPr>
                <w:sz w:val="22"/>
                <w:szCs w:val="22"/>
              </w:rPr>
              <w:t xml:space="preserve">Курс евро – </w:t>
            </w:r>
            <w:r w:rsidRPr="002E0262">
              <w:rPr>
                <w:sz w:val="22"/>
                <w:szCs w:val="22"/>
              </w:rPr>
              <w:t>89,9768</w:t>
            </w:r>
            <w:r>
              <w:rPr>
                <w:sz w:val="22"/>
                <w:szCs w:val="22"/>
              </w:rPr>
              <w:t xml:space="preserve"> </w:t>
            </w:r>
            <w:r w:rsidRPr="001A529C">
              <w:rPr>
                <w:sz w:val="22"/>
                <w:szCs w:val="22"/>
              </w:rPr>
              <w:t>руб. за 1 евро</w:t>
            </w:r>
          </w:p>
        </w:tc>
      </w:tr>
      <w:tr w:rsidR="005F47E3" w:rsidRPr="00002E86" w:rsidTr="004F4888">
        <w:trPr>
          <w:trHeight w:val="20"/>
        </w:trPr>
        <w:tc>
          <w:tcPr>
            <w:tcW w:w="3614" w:type="dxa"/>
            <w:vAlign w:val="center"/>
          </w:tcPr>
          <w:p w:rsidR="005F47E3" w:rsidRPr="00002E86" w:rsidRDefault="005F47E3" w:rsidP="004F4888">
            <w:pPr>
              <w:spacing w:line="216" w:lineRule="auto"/>
              <w:rPr>
                <w:sz w:val="22"/>
                <w:szCs w:val="22"/>
              </w:rPr>
            </w:pPr>
            <w:r w:rsidRPr="00002E86">
              <w:rPr>
                <w:color w:val="000000"/>
                <w:sz w:val="22"/>
                <w:szCs w:val="22"/>
              </w:rPr>
              <w:t>Предполагаемое использование результатов оценки (назначение оценки, задачи проведения оценки)</w:t>
            </w:r>
          </w:p>
        </w:tc>
        <w:tc>
          <w:tcPr>
            <w:tcW w:w="5849" w:type="dxa"/>
            <w:gridSpan w:val="3"/>
            <w:vAlign w:val="center"/>
          </w:tcPr>
          <w:p w:rsidR="005F47E3" w:rsidRPr="002E0262" w:rsidRDefault="005F47E3" w:rsidP="004F4888">
            <w:pPr>
              <w:overflowPunct w:val="0"/>
              <w:autoSpaceDE w:val="0"/>
              <w:autoSpaceDN w:val="0"/>
              <w:adjustRightInd w:val="0"/>
              <w:textAlignment w:val="baseline"/>
              <w:rPr>
                <w:rFonts w:eastAsia="Calibri"/>
                <w:sz w:val="20"/>
                <w:szCs w:val="20"/>
                <w:lang w:eastAsia="en-US"/>
              </w:rPr>
            </w:pPr>
            <w:r w:rsidRPr="002E0262">
              <w:rPr>
                <w:sz w:val="22"/>
                <w:szCs w:val="22"/>
              </w:rPr>
              <w:t>Для целей выкупа акций у миноритарных акционеров с обязательным предложением о приобретении акций, согласно ст. 84.2 Федерального закона от 26.12.1995 № 208-ФЗ  «Об акционерных обществах»</w:t>
            </w:r>
          </w:p>
        </w:tc>
      </w:tr>
      <w:tr w:rsidR="005F47E3" w:rsidRPr="00002E86" w:rsidTr="004F4888">
        <w:trPr>
          <w:trHeight w:val="20"/>
        </w:trPr>
        <w:tc>
          <w:tcPr>
            <w:tcW w:w="9463" w:type="dxa"/>
            <w:gridSpan w:val="4"/>
            <w:vAlign w:val="center"/>
          </w:tcPr>
          <w:p w:rsidR="005F47E3" w:rsidRPr="00002E86" w:rsidRDefault="005F47E3" w:rsidP="004F4888">
            <w:pPr>
              <w:spacing w:line="216" w:lineRule="auto"/>
              <w:jc w:val="center"/>
              <w:rPr>
                <w:b/>
                <w:bCs/>
                <w:sz w:val="22"/>
                <w:szCs w:val="22"/>
              </w:rPr>
            </w:pPr>
            <w:r w:rsidRPr="00002E86">
              <w:rPr>
                <w:b/>
                <w:bCs/>
                <w:sz w:val="22"/>
                <w:szCs w:val="22"/>
              </w:rPr>
              <w:t>Общая информация, идентифицирующая Объект оценки</w:t>
            </w:r>
          </w:p>
        </w:tc>
      </w:tr>
      <w:tr w:rsidR="005F47E3" w:rsidRPr="00002E86" w:rsidTr="004F4888">
        <w:trPr>
          <w:trHeight w:val="20"/>
        </w:trPr>
        <w:tc>
          <w:tcPr>
            <w:tcW w:w="3614" w:type="dxa"/>
            <w:vAlign w:val="center"/>
          </w:tcPr>
          <w:p w:rsidR="005F47E3" w:rsidRPr="00002E86" w:rsidRDefault="005F47E3" w:rsidP="004F4888">
            <w:pPr>
              <w:spacing w:line="216" w:lineRule="auto"/>
              <w:rPr>
                <w:sz w:val="22"/>
                <w:szCs w:val="22"/>
              </w:rPr>
            </w:pPr>
            <w:r w:rsidRPr="00002E86">
              <w:rPr>
                <w:sz w:val="22"/>
                <w:szCs w:val="22"/>
              </w:rPr>
              <w:t>Объект оценки</w:t>
            </w:r>
          </w:p>
        </w:tc>
        <w:tc>
          <w:tcPr>
            <w:tcW w:w="5849" w:type="dxa"/>
            <w:gridSpan w:val="3"/>
            <w:vAlign w:val="center"/>
          </w:tcPr>
          <w:p w:rsidR="005F47E3" w:rsidRPr="00D84C5E" w:rsidRDefault="005F47E3" w:rsidP="004F4888">
            <w:pPr>
              <w:keepNext/>
              <w:spacing w:line="216" w:lineRule="auto"/>
              <w:rPr>
                <w:sz w:val="22"/>
                <w:szCs w:val="22"/>
              </w:rPr>
            </w:pPr>
            <w:r w:rsidRPr="00D84C5E">
              <w:rPr>
                <w:rFonts w:eastAsia="Calibri"/>
                <w:sz w:val="22"/>
                <w:szCs w:val="22"/>
                <w:lang w:eastAsia="en-US"/>
              </w:rPr>
              <w:t xml:space="preserve">Пакет обыкновенных именных бездокументарных акций АО «НПП «Респиратор» </w:t>
            </w:r>
            <w:r w:rsidRPr="001C34C7">
              <w:rPr>
                <w:rFonts w:eastAsia="Calibri"/>
                <w:sz w:val="22"/>
                <w:szCs w:val="22"/>
                <w:lang w:eastAsia="en-US"/>
              </w:rPr>
              <w:t xml:space="preserve">в количестве </w:t>
            </w:r>
            <w:r>
              <w:rPr>
                <w:rFonts w:eastAsia="Calibri"/>
                <w:sz w:val="22"/>
                <w:szCs w:val="22"/>
                <w:lang w:eastAsia="en-US"/>
              </w:rPr>
              <w:t>25 729 833 шт</w:t>
            </w:r>
            <w:r w:rsidRPr="001C34C7">
              <w:rPr>
                <w:rFonts w:eastAsia="Calibri"/>
                <w:sz w:val="22"/>
                <w:szCs w:val="22"/>
                <w:lang w:eastAsia="en-US"/>
              </w:rPr>
              <w:t>., составляющий  100% от уставного капитала общества</w:t>
            </w:r>
          </w:p>
        </w:tc>
      </w:tr>
      <w:tr w:rsidR="005F47E3" w:rsidRPr="00002E86" w:rsidTr="004F4888">
        <w:trPr>
          <w:trHeight w:val="20"/>
        </w:trPr>
        <w:tc>
          <w:tcPr>
            <w:tcW w:w="3614" w:type="dxa"/>
            <w:vAlign w:val="center"/>
          </w:tcPr>
          <w:p w:rsidR="005F47E3" w:rsidRPr="00002E86" w:rsidRDefault="005F47E3" w:rsidP="004F4888">
            <w:pPr>
              <w:overflowPunct w:val="0"/>
              <w:autoSpaceDE w:val="0"/>
              <w:autoSpaceDN w:val="0"/>
              <w:adjustRightInd w:val="0"/>
              <w:spacing w:line="216" w:lineRule="auto"/>
              <w:textAlignment w:val="baseline"/>
              <w:rPr>
                <w:rFonts w:eastAsia="Calibri"/>
                <w:sz w:val="22"/>
                <w:szCs w:val="22"/>
                <w:lang w:eastAsia="en-US"/>
              </w:rPr>
            </w:pPr>
            <w:r w:rsidRPr="00002E86">
              <w:rPr>
                <w:sz w:val="22"/>
                <w:szCs w:val="22"/>
              </w:rPr>
              <w:t>Описание Объекта оценки, позволяющее провести его идентификацию</w:t>
            </w:r>
          </w:p>
        </w:tc>
        <w:tc>
          <w:tcPr>
            <w:tcW w:w="5849" w:type="dxa"/>
            <w:gridSpan w:val="3"/>
            <w:vAlign w:val="center"/>
          </w:tcPr>
          <w:p w:rsidR="005F47E3" w:rsidRPr="00D84C5E" w:rsidRDefault="005F47E3" w:rsidP="004F4888">
            <w:pPr>
              <w:overflowPunct w:val="0"/>
              <w:autoSpaceDE w:val="0"/>
              <w:autoSpaceDN w:val="0"/>
              <w:adjustRightInd w:val="0"/>
              <w:ind w:left="62"/>
              <w:textAlignment w:val="baseline"/>
              <w:rPr>
                <w:sz w:val="22"/>
                <w:szCs w:val="22"/>
              </w:rPr>
            </w:pPr>
            <w:r w:rsidRPr="00D84C5E">
              <w:rPr>
                <w:sz w:val="22"/>
                <w:szCs w:val="22"/>
              </w:rPr>
              <w:t xml:space="preserve">Количество ценных </w:t>
            </w:r>
            <w:r w:rsidRPr="001C34C7">
              <w:rPr>
                <w:sz w:val="22"/>
                <w:szCs w:val="22"/>
              </w:rPr>
              <w:t xml:space="preserve">бумаг: </w:t>
            </w:r>
            <w:r>
              <w:rPr>
                <w:sz w:val="22"/>
                <w:szCs w:val="22"/>
              </w:rPr>
              <w:t>25 729 833 шт</w:t>
            </w:r>
            <w:r w:rsidRPr="001C34C7">
              <w:rPr>
                <w:sz w:val="22"/>
                <w:szCs w:val="22"/>
              </w:rPr>
              <w:t>.</w:t>
            </w:r>
          </w:p>
          <w:p w:rsidR="005F47E3" w:rsidRPr="00672CC7" w:rsidRDefault="005F47E3" w:rsidP="004F4888">
            <w:pPr>
              <w:overflowPunct w:val="0"/>
              <w:autoSpaceDE w:val="0"/>
              <w:autoSpaceDN w:val="0"/>
              <w:adjustRightInd w:val="0"/>
              <w:ind w:left="62"/>
              <w:textAlignment w:val="baseline"/>
              <w:rPr>
                <w:sz w:val="22"/>
                <w:szCs w:val="22"/>
              </w:rPr>
            </w:pPr>
            <w:r w:rsidRPr="00D84C5E">
              <w:rPr>
                <w:sz w:val="22"/>
                <w:szCs w:val="22"/>
              </w:rPr>
              <w:t xml:space="preserve">Категория (тип) ценных бумаг: обыкновенные именные </w:t>
            </w:r>
            <w:r w:rsidRPr="00672CC7">
              <w:rPr>
                <w:sz w:val="22"/>
                <w:szCs w:val="22"/>
              </w:rPr>
              <w:t>бездокументарные акции</w:t>
            </w:r>
          </w:p>
          <w:p w:rsidR="005F47E3" w:rsidRPr="00672CC7" w:rsidRDefault="005F47E3" w:rsidP="004F4888">
            <w:pPr>
              <w:overflowPunct w:val="0"/>
              <w:autoSpaceDE w:val="0"/>
              <w:autoSpaceDN w:val="0"/>
              <w:adjustRightInd w:val="0"/>
              <w:ind w:left="62"/>
              <w:textAlignment w:val="baseline"/>
              <w:rPr>
                <w:sz w:val="22"/>
                <w:szCs w:val="22"/>
              </w:rPr>
            </w:pPr>
            <w:r w:rsidRPr="00672CC7">
              <w:rPr>
                <w:sz w:val="22"/>
                <w:szCs w:val="22"/>
              </w:rPr>
              <w:t xml:space="preserve">Государственный регистрационный номер выпуска ценных бумаг: </w:t>
            </w:r>
            <w:r w:rsidRPr="00297FAF">
              <w:rPr>
                <w:sz w:val="22"/>
                <w:szCs w:val="22"/>
              </w:rPr>
              <w:t>1-01-10334-А и 1-01-10334-А-001</w:t>
            </w:r>
            <w:r w:rsidRPr="00297FAF">
              <w:rPr>
                <w:sz w:val="22"/>
                <w:szCs w:val="22"/>
                <w:lang w:val="en-US"/>
              </w:rPr>
              <w:t>D</w:t>
            </w:r>
          </w:p>
          <w:p w:rsidR="005F47E3" w:rsidRPr="00D84C5E" w:rsidRDefault="005F47E3" w:rsidP="004F4888">
            <w:pPr>
              <w:overflowPunct w:val="0"/>
              <w:autoSpaceDE w:val="0"/>
              <w:autoSpaceDN w:val="0"/>
              <w:adjustRightInd w:val="0"/>
              <w:ind w:left="62"/>
              <w:textAlignment w:val="baseline"/>
              <w:rPr>
                <w:sz w:val="22"/>
                <w:szCs w:val="22"/>
              </w:rPr>
            </w:pPr>
            <w:r w:rsidRPr="00672CC7">
              <w:rPr>
                <w:sz w:val="22"/>
                <w:szCs w:val="22"/>
              </w:rPr>
              <w:t xml:space="preserve">Дата государственной регистрации выпуска ценных бумаг: </w:t>
            </w:r>
            <w:r w:rsidRPr="00297FAF">
              <w:rPr>
                <w:sz w:val="22"/>
                <w:szCs w:val="22"/>
              </w:rPr>
              <w:t>09.06.1994 г. и 26.03.2021 г</w:t>
            </w:r>
            <w:r w:rsidRPr="00672CC7">
              <w:rPr>
                <w:sz w:val="22"/>
                <w:szCs w:val="22"/>
              </w:rPr>
              <w:t>.</w:t>
            </w:r>
          </w:p>
          <w:p w:rsidR="005F47E3" w:rsidRPr="00D84C5E" w:rsidRDefault="005F47E3" w:rsidP="004F4888">
            <w:pPr>
              <w:spacing w:line="216" w:lineRule="auto"/>
              <w:ind w:firstLine="72"/>
              <w:rPr>
                <w:sz w:val="22"/>
                <w:szCs w:val="22"/>
              </w:rPr>
            </w:pPr>
            <w:r w:rsidRPr="00D84C5E">
              <w:rPr>
                <w:sz w:val="22"/>
                <w:szCs w:val="22"/>
              </w:rPr>
              <w:t>Информация об организации, акции которой оцениваются:</w:t>
            </w:r>
          </w:p>
          <w:p w:rsidR="005F47E3" w:rsidRPr="00D84C5E" w:rsidRDefault="005F47E3" w:rsidP="004F4888">
            <w:pPr>
              <w:overflowPunct w:val="0"/>
              <w:autoSpaceDE w:val="0"/>
              <w:autoSpaceDN w:val="0"/>
              <w:adjustRightInd w:val="0"/>
              <w:ind w:left="62"/>
              <w:textAlignment w:val="baseline"/>
              <w:rPr>
                <w:sz w:val="22"/>
                <w:szCs w:val="22"/>
              </w:rPr>
            </w:pPr>
            <w:r w:rsidRPr="00D84C5E">
              <w:rPr>
                <w:sz w:val="22"/>
                <w:szCs w:val="22"/>
              </w:rPr>
              <w:t>Полное фирменное наименование: Акционерное общество «Научно-производственное предприятие «Респиратор»</w:t>
            </w:r>
          </w:p>
          <w:p w:rsidR="005F47E3" w:rsidRPr="00D84C5E" w:rsidRDefault="005F47E3" w:rsidP="004F4888">
            <w:pPr>
              <w:overflowPunct w:val="0"/>
              <w:autoSpaceDE w:val="0"/>
              <w:autoSpaceDN w:val="0"/>
              <w:adjustRightInd w:val="0"/>
              <w:ind w:left="62"/>
              <w:textAlignment w:val="baseline"/>
              <w:rPr>
                <w:sz w:val="22"/>
                <w:szCs w:val="22"/>
              </w:rPr>
            </w:pPr>
            <w:r w:rsidRPr="00D84C5E">
              <w:rPr>
                <w:sz w:val="22"/>
                <w:szCs w:val="22"/>
              </w:rPr>
              <w:t>Сокращенное фирменное наименование: АО «НПП «Респиратор»</w:t>
            </w:r>
          </w:p>
          <w:p w:rsidR="005F47E3" w:rsidRDefault="005F47E3" w:rsidP="004F4888">
            <w:pPr>
              <w:overflowPunct w:val="0"/>
              <w:autoSpaceDE w:val="0"/>
              <w:autoSpaceDN w:val="0"/>
              <w:adjustRightInd w:val="0"/>
              <w:ind w:left="62"/>
              <w:textAlignment w:val="baseline"/>
              <w:rPr>
                <w:sz w:val="22"/>
                <w:szCs w:val="22"/>
              </w:rPr>
            </w:pPr>
            <w:r w:rsidRPr="00D84C5E">
              <w:rPr>
                <w:sz w:val="22"/>
                <w:szCs w:val="22"/>
              </w:rPr>
              <w:t>Место нахождения: 142602, Московская область, г. Орехово-Зуево, ул. Гагарина, д. 1</w:t>
            </w:r>
          </w:p>
          <w:p w:rsidR="005F47E3" w:rsidRPr="00D84C5E" w:rsidRDefault="005F47E3" w:rsidP="004F4888">
            <w:pPr>
              <w:overflowPunct w:val="0"/>
              <w:autoSpaceDE w:val="0"/>
              <w:autoSpaceDN w:val="0"/>
              <w:adjustRightInd w:val="0"/>
              <w:ind w:left="62"/>
              <w:textAlignment w:val="baseline"/>
              <w:rPr>
                <w:sz w:val="22"/>
                <w:szCs w:val="22"/>
              </w:rPr>
            </w:pPr>
            <w:r w:rsidRPr="00D84C5E">
              <w:rPr>
                <w:sz w:val="22"/>
                <w:szCs w:val="22"/>
              </w:rPr>
              <w:t>ОГРН: 1025004583108 дата присвоения ОГРН: 14.10.2002</w:t>
            </w:r>
          </w:p>
        </w:tc>
      </w:tr>
      <w:tr w:rsidR="005F47E3" w:rsidRPr="00002E86" w:rsidTr="004F4888">
        <w:trPr>
          <w:trHeight w:val="20"/>
        </w:trPr>
        <w:tc>
          <w:tcPr>
            <w:tcW w:w="3614" w:type="dxa"/>
            <w:vAlign w:val="center"/>
          </w:tcPr>
          <w:p w:rsidR="005F47E3" w:rsidRPr="00002E86" w:rsidRDefault="005F47E3" w:rsidP="004F4888">
            <w:pPr>
              <w:overflowPunct w:val="0"/>
              <w:autoSpaceDE w:val="0"/>
              <w:autoSpaceDN w:val="0"/>
              <w:adjustRightInd w:val="0"/>
              <w:spacing w:line="216" w:lineRule="auto"/>
              <w:textAlignment w:val="baseline"/>
              <w:rPr>
                <w:rFonts w:eastAsia="Calibri"/>
                <w:sz w:val="22"/>
                <w:szCs w:val="22"/>
                <w:lang w:eastAsia="en-US"/>
              </w:rPr>
            </w:pPr>
            <w:r w:rsidRPr="00002E86">
              <w:rPr>
                <w:rFonts w:eastAsia="Calibri"/>
                <w:sz w:val="22"/>
                <w:szCs w:val="22"/>
                <w:lang w:eastAsia="en-US"/>
              </w:rPr>
              <w:t>Права на Объект оценки, учитываемые при определении стоимости объекта оценки</w:t>
            </w:r>
          </w:p>
        </w:tc>
        <w:tc>
          <w:tcPr>
            <w:tcW w:w="5849" w:type="dxa"/>
            <w:gridSpan w:val="3"/>
            <w:vAlign w:val="center"/>
          </w:tcPr>
          <w:p w:rsidR="005F47E3" w:rsidRPr="00002E86" w:rsidRDefault="005F47E3" w:rsidP="004F4888">
            <w:pPr>
              <w:overflowPunct w:val="0"/>
              <w:autoSpaceDE w:val="0"/>
              <w:autoSpaceDN w:val="0"/>
              <w:adjustRightInd w:val="0"/>
              <w:spacing w:line="216" w:lineRule="auto"/>
              <w:textAlignment w:val="baseline"/>
              <w:rPr>
                <w:sz w:val="22"/>
                <w:szCs w:val="22"/>
              </w:rPr>
            </w:pPr>
            <w:r w:rsidRPr="00002E86">
              <w:rPr>
                <w:sz w:val="22"/>
                <w:szCs w:val="22"/>
              </w:rPr>
              <w:t>Право собственности, наличие обременений: не зарегистрировано</w:t>
            </w:r>
          </w:p>
        </w:tc>
      </w:tr>
      <w:tr w:rsidR="005F47E3" w:rsidRPr="00002E86" w:rsidTr="004F4888">
        <w:trPr>
          <w:trHeight w:val="20"/>
        </w:trPr>
        <w:tc>
          <w:tcPr>
            <w:tcW w:w="3614" w:type="dxa"/>
            <w:vAlign w:val="center"/>
          </w:tcPr>
          <w:p w:rsidR="005F47E3" w:rsidRPr="00002E86" w:rsidRDefault="005F47E3" w:rsidP="004F4888">
            <w:pPr>
              <w:widowControl w:val="0"/>
              <w:spacing w:line="216" w:lineRule="auto"/>
              <w:rPr>
                <w:sz w:val="22"/>
                <w:szCs w:val="22"/>
              </w:rPr>
            </w:pPr>
            <w:r w:rsidRPr="00002E86">
              <w:rPr>
                <w:sz w:val="22"/>
                <w:szCs w:val="22"/>
              </w:rPr>
              <w:t>Уставный капитал Общества</w:t>
            </w:r>
          </w:p>
        </w:tc>
        <w:tc>
          <w:tcPr>
            <w:tcW w:w="5849" w:type="dxa"/>
            <w:gridSpan w:val="3"/>
            <w:vAlign w:val="center"/>
          </w:tcPr>
          <w:p w:rsidR="005F47E3" w:rsidRPr="00002E86" w:rsidRDefault="005F47E3" w:rsidP="004F4888">
            <w:pPr>
              <w:overflowPunct w:val="0"/>
              <w:autoSpaceDE w:val="0"/>
              <w:autoSpaceDN w:val="0"/>
              <w:adjustRightInd w:val="0"/>
              <w:spacing w:line="216" w:lineRule="auto"/>
              <w:textAlignment w:val="baseline"/>
              <w:rPr>
                <w:sz w:val="22"/>
                <w:szCs w:val="22"/>
              </w:rPr>
            </w:pPr>
            <w:r w:rsidRPr="00AD12BF">
              <w:rPr>
                <w:sz w:val="22"/>
                <w:szCs w:val="22"/>
              </w:rPr>
              <w:t>25 729 833 (Двадцать пять миллионов семьсот двадцать девять тысяч восемьсот тридцать три) рубля</w:t>
            </w:r>
          </w:p>
        </w:tc>
      </w:tr>
      <w:tr w:rsidR="005F47E3" w:rsidRPr="00002E86" w:rsidTr="004F4888">
        <w:trPr>
          <w:trHeight w:val="20"/>
        </w:trPr>
        <w:tc>
          <w:tcPr>
            <w:tcW w:w="3614" w:type="dxa"/>
            <w:tcBorders>
              <w:top w:val="single" w:sz="4" w:space="0" w:color="auto"/>
              <w:left w:val="nil"/>
              <w:bottom w:val="single" w:sz="4" w:space="0" w:color="auto"/>
              <w:right w:val="single" w:sz="4" w:space="0" w:color="auto"/>
            </w:tcBorders>
            <w:vAlign w:val="center"/>
            <w:hideMark/>
          </w:tcPr>
          <w:p w:rsidR="005F47E3" w:rsidRPr="00002E86" w:rsidRDefault="005F47E3" w:rsidP="004F4888">
            <w:pPr>
              <w:spacing w:line="216" w:lineRule="auto"/>
              <w:rPr>
                <w:sz w:val="22"/>
                <w:szCs w:val="22"/>
              </w:rPr>
            </w:pPr>
            <w:r w:rsidRPr="00002E86">
              <w:rPr>
                <w:sz w:val="22"/>
                <w:szCs w:val="22"/>
              </w:rPr>
              <w:t>Вид, категория (тип), форма ценных бумаг</w:t>
            </w:r>
          </w:p>
        </w:tc>
        <w:tc>
          <w:tcPr>
            <w:tcW w:w="5849" w:type="dxa"/>
            <w:gridSpan w:val="3"/>
            <w:tcBorders>
              <w:top w:val="single" w:sz="4" w:space="0" w:color="auto"/>
              <w:left w:val="single" w:sz="4" w:space="0" w:color="auto"/>
              <w:bottom w:val="single" w:sz="4" w:space="0" w:color="auto"/>
              <w:right w:val="nil"/>
            </w:tcBorders>
            <w:vAlign w:val="center"/>
            <w:hideMark/>
          </w:tcPr>
          <w:p w:rsidR="005F47E3" w:rsidRPr="00002E86" w:rsidRDefault="005F47E3" w:rsidP="004F4888">
            <w:pPr>
              <w:spacing w:line="216" w:lineRule="auto"/>
              <w:rPr>
                <w:sz w:val="22"/>
                <w:szCs w:val="22"/>
              </w:rPr>
            </w:pPr>
            <w:r w:rsidRPr="00002E86">
              <w:rPr>
                <w:sz w:val="22"/>
                <w:szCs w:val="22"/>
              </w:rPr>
              <w:t>Обыкновенные именные бездокументарные акции</w:t>
            </w:r>
          </w:p>
        </w:tc>
      </w:tr>
      <w:tr w:rsidR="005F47E3" w:rsidRPr="00002E86" w:rsidTr="004F4888">
        <w:trPr>
          <w:trHeight w:val="20"/>
        </w:trPr>
        <w:tc>
          <w:tcPr>
            <w:tcW w:w="3614" w:type="dxa"/>
            <w:tcBorders>
              <w:top w:val="single" w:sz="4" w:space="0" w:color="auto"/>
              <w:left w:val="nil"/>
              <w:bottom w:val="single" w:sz="4" w:space="0" w:color="auto"/>
              <w:right w:val="single" w:sz="4" w:space="0" w:color="auto"/>
            </w:tcBorders>
            <w:vAlign w:val="center"/>
            <w:hideMark/>
          </w:tcPr>
          <w:p w:rsidR="005F47E3" w:rsidRPr="00002E86" w:rsidRDefault="005F47E3" w:rsidP="004F4888">
            <w:pPr>
              <w:spacing w:line="216" w:lineRule="auto"/>
              <w:rPr>
                <w:sz w:val="22"/>
                <w:szCs w:val="22"/>
              </w:rPr>
            </w:pPr>
            <w:r w:rsidRPr="00002E86">
              <w:rPr>
                <w:sz w:val="22"/>
                <w:szCs w:val="22"/>
              </w:rPr>
              <w:t>Общее количество акций, на которые разделен уставный капитал</w:t>
            </w:r>
          </w:p>
        </w:tc>
        <w:tc>
          <w:tcPr>
            <w:tcW w:w="5849" w:type="dxa"/>
            <w:gridSpan w:val="3"/>
            <w:tcBorders>
              <w:top w:val="single" w:sz="4" w:space="0" w:color="auto"/>
              <w:left w:val="single" w:sz="4" w:space="0" w:color="auto"/>
              <w:bottom w:val="single" w:sz="4" w:space="0" w:color="auto"/>
              <w:right w:val="nil"/>
            </w:tcBorders>
            <w:vAlign w:val="center"/>
            <w:hideMark/>
          </w:tcPr>
          <w:p w:rsidR="005F47E3" w:rsidRPr="00002E86" w:rsidRDefault="005F47E3" w:rsidP="004F4888">
            <w:pPr>
              <w:spacing w:line="216" w:lineRule="auto"/>
              <w:rPr>
                <w:sz w:val="22"/>
                <w:szCs w:val="22"/>
              </w:rPr>
            </w:pPr>
            <w:r w:rsidRPr="00AD12BF">
              <w:rPr>
                <w:rFonts w:eastAsia="Calibri"/>
                <w:sz w:val="22"/>
                <w:szCs w:val="22"/>
                <w:lang w:eastAsia="en-US"/>
              </w:rPr>
              <w:t xml:space="preserve">25 729 833 (Двадцать пять миллионов семьсот двадцать девять тысяч восемьсот тридцать три) </w:t>
            </w:r>
            <w:r w:rsidRPr="00002E86">
              <w:rPr>
                <w:rFonts w:eastAsia="Calibri"/>
                <w:sz w:val="22"/>
                <w:szCs w:val="22"/>
                <w:lang w:eastAsia="en-US"/>
              </w:rPr>
              <w:t>шт</w:t>
            </w:r>
            <w:r>
              <w:rPr>
                <w:rFonts w:eastAsia="Calibri"/>
                <w:sz w:val="22"/>
                <w:szCs w:val="22"/>
                <w:lang w:eastAsia="en-US"/>
              </w:rPr>
              <w:t>уки</w:t>
            </w:r>
          </w:p>
        </w:tc>
      </w:tr>
      <w:tr w:rsidR="005F47E3" w:rsidRPr="00002E86" w:rsidTr="004F4888">
        <w:trPr>
          <w:trHeight w:val="20"/>
        </w:trPr>
        <w:tc>
          <w:tcPr>
            <w:tcW w:w="3614" w:type="dxa"/>
            <w:tcBorders>
              <w:top w:val="single" w:sz="4" w:space="0" w:color="auto"/>
              <w:left w:val="nil"/>
              <w:bottom w:val="single" w:sz="4" w:space="0" w:color="auto"/>
              <w:right w:val="single" w:sz="4" w:space="0" w:color="auto"/>
            </w:tcBorders>
            <w:vAlign w:val="center"/>
            <w:hideMark/>
          </w:tcPr>
          <w:p w:rsidR="005F47E3" w:rsidRPr="001C34C7" w:rsidRDefault="005F47E3" w:rsidP="004F4888">
            <w:pPr>
              <w:spacing w:line="216" w:lineRule="auto"/>
              <w:rPr>
                <w:sz w:val="22"/>
                <w:szCs w:val="22"/>
              </w:rPr>
            </w:pPr>
            <w:r w:rsidRPr="001C34C7">
              <w:rPr>
                <w:sz w:val="22"/>
                <w:szCs w:val="22"/>
              </w:rPr>
              <w:t>Номинальная стоимость одной акции</w:t>
            </w:r>
          </w:p>
        </w:tc>
        <w:tc>
          <w:tcPr>
            <w:tcW w:w="5849" w:type="dxa"/>
            <w:gridSpan w:val="3"/>
            <w:tcBorders>
              <w:top w:val="single" w:sz="4" w:space="0" w:color="auto"/>
              <w:left w:val="single" w:sz="4" w:space="0" w:color="auto"/>
              <w:bottom w:val="single" w:sz="4" w:space="0" w:color="auto"/>
              <w:right w:val="nil"/>
            </w:tcBorders>
            <w:vAlign w:val="center"/>
            <w:hideMark/>
          </w:tcPr>
          <w:p w:rsidR="005F47E3" w:rsidRPr="00002E86" w:rsidRDefault="005F47E3" w:rsidP="004F4888">
            <w:pPr>
              <w:spacing w:line="216" w:lineRule="auto"/>
              <w:rPr>
                <w:sz w:val="22"/>
                <w:szCs w:val="22"/>
              </w:rPr>
            </w:pPr>
            <w:r w:rsidRPr="001C34C7">
              <w:rPr>
                <w:sz w:val="22"/>
                <w:szCs w:val="22"/>
              </w:rPr>
              <w:t>1 (Один) рубль</w:t>
            </w:r>
          </w:p>
        </w:tc>
      </w:tr>
      <w:tr w:rsidR="005F47E3" w:rsidRPr="00002E86" w:rsidTr="004F4888">
        <w:trPr>
          <w:trHeight w:val="20"/>
        </w:trPr>
        <w:tc>
          <w:tcPr>
            <w:tcW w:w="3614" w:type="dxa"/>
            <w:vAlign w:val="center"/>
          </w:tcPr>
          <w:p w:rsidR="005F47E3" w:rsidRPr="00002E86" w:rsidRDefault="005F47E3" w:rsidP="004F4888">
            <w:pPr>
              <w:widowControl w:val="0"/>
              <w:spacing w:line="216" w:lineRule="auto"/>
              <w:rPr>
                <w:sz w:val="22"/>
                <w:szCs w:val="22"/>
              </w:rPr>
            </w:pPr>
            <w:r w:rsidRPr="003A6366">
              <w:rPr>
                <w:sz w:val="21"/>
                <w:szCs w:val="21"/>
              </w:rPr>
              <w:t xml:space="preserve">Стоимость чистых активов </w:t>
            </w:r>
            <w:r>
              <w:rPr>
                <w:sz w:val="21"/>
                <w:szCs w:val="21"/>
              </w:rPr>
              <w:t>О</w:t>
            </w:r>
            <w:r w:rsidRPr="003A6366">
              <w:rPr>
                <w:sz w:val="21"/>
                <w:szCs w:val="21"/>
              </w:rPr>
              <w:t xml:space="preserve">бщества </w:t>
            </w:r>
          </w:p>
        </w:tc>
        <w:tc>
          <w:tcPr>
            <w:tcW w:w="5849" w:type="dxa"/>
            <w:gridSpan w:val="3"/>
            <w:vAlign w:val="center"/>
          </w:tcPr>
          <w:p w:rsidR="005F47E3" w:rsidRPr="00D84C5E" w:rsidRDefault="005F47E3" w:rsidP="004F4888">
            <w:pPr>
              <w:widowControl w:val="0"/>
              <w:spacing w:line="216" w:lineRule="auto"/>
              <w:rPr>
                <w:sz w:val="22"/>
                <w:szCs w:val="22"/>
                <w:highlight w:val="yellow"/>
              </w:rPr>
            </w:pPr>
            <w:bookmarkStart w:id="3" w:name="OLE_LINK11"/>
            <w:bookmarkStart w:id="4" w:name="OLE_LINK12"/>
            <w:r w:rsidRPr="001C34C7">
              <w:rPr>
                <w:sz w:val="21"/>
                <w:szCs w:val="21"/>
              </w:rPr>
              <w:t>972</w:t>
            </w:r>
            <w:r>
              <w:rPr>
                <w:sz w:val="21"/>
                <w:szCs w:val="21"/>
              </w:rPr>
              <w:t> </w:t>
            </w:r>
            <w:r w:rsidRPr="001C34C7">
              <w:rPr>
                <w:sz w:val="21"/>
                <w:szCs w:val="21"/>
              </w:rPr>
              <w:t>590</w:t>
            </w:r>
            <w:r>
              <w:rPr>
                <w:sz w:val="21"/>
                <w:szCs w:val="21"/>
              </w:rPr>
              <w:t xml:space="preserve"> </w:t>
            </w:r>
            <w:r w:rsidRPr="003A6366">
              <w:rPr>
                <w:sz w:val="21"/>
                <w:szCs w:val="21"/>
              </w:rPr>
              <w:t>тыс. руб</w:t>
            </w:r>
            <w:bookmarkEnd w:id="3"/>
            <w:bookmarkEnd w:id="4"/>
            <w:r w:rsidRPr="003A6366">
              <w:rPr>
                <w:sz w:val="21"/>
                <w:szCs w:val="21"/>
              </w:rPr>
              <w:t>. (в бухгалтерской оценке по состоянию на 31.12.20</w:t>
            </w:r>
            <w:r>
              <w:rPr>
                <w:sz w:val="21"/>
                <w:szCs w:val="21"/>
              </w:rPr>
              <w:t>20</w:t>
            </w:r>
            <w:r w:rsidRPr="003A6366">
              <w:rPr>
                <w:sz w:val="21"/>
                <w:szCs w:val="21"/>
              </w:rPr>
              <w:t>г.)</w:t>
            </w:r>
          </w:p>
        </w:tc>
      </w:tr>
      <w:tr w:rsidR="005F47E3" w:rsidRPr="00002E86" w:rsidTr="004F4888">
        <w:tblPrEx>
          <w:tblBorders>
            <w:left w:val="single" w:sz="4" w:space="0" w:color="auto"/>
            <w:right w:val="single" w:sz="4" w:space="0" w:color="auto"/>
          </w:tblBorders>
        </w:tblPrEx>
        <w:trPr>
          <w:trHeight w:val="20"/>
        </w:trPr>
        <w:tc>
          <w:tcPr>
            <w:tcW w:w="9463" w:type="dxa"/>
            <w:gridSpan w:val="4"/>
            <w:tcBorders>
              <w:left w:val="nil"/>
              <w:right w:val="nil"/>
            </w:tcBorders>
            <w:vAlign w:val="center"/>
          </w:tcPr>
          <w:p w:rsidR="005F47E3" w:rsidRPr="00D84C5E" w:rsidRDefault="005F47E3" w:rsidP="004F4888">
            <w:pPr>
              <w:spacing w:line="216" w:lineRule="auto"/>
              <w:jc w:val="center"/>
              <w:rPr>
                <w:b/>
                <w:sz w:val="22"/>
                <w:szCs w:val="22"/>
                <w:highlight w:val="yellow"/>
              </w:rPr>
            </w:pPr>
            <w:r w:rsidRPr="00723EA1">
              <w:rPr>
                <w:b/>
                <w:sz w:val="22"/>
                <w:szCs w:val="22"/>
              </w:rPr>
              <w:t>Результаты оценки, полученные при применении различных подходов к оценке</w:t>
            </w:r>
          </w:p>
        </w:tc>
      </w:tr>
      <w:tr w:rsidR="005F47E3" w:rsidRPr="00002E86" w:rsidTr="004F4888">
        <w:tblPrEx>
          <w:tblBorders>
            <w:left w:val="single" w:sz="4" w:space="0" w:color="auto"/>
            <w:right w:val="single" w:sz="4" w:space="0" w:color="auto"/>
          </w:tblBorders>
        </w:tblPrEx>
        <w:trPr>
          <w:trHeight w:val="20"/>
        </w:trPr>
        <w:tc>
          <w:tcPr>
            <w:tcW w:w="3614" w:type="dxa"/>
            <w:tcBorders>
              <w:left w:val="nil"/>
            </w:tcBorders>
            <w:vAlign w:val="center"/>
          </w:tcPr>
          <w:p w:rsidR="005F47E3" w:rsidRPr="00002E86" w:rsidRDefault="005F47E3" w:rsidP="004F4888">
            <w:pPr>
              <w:spacing w:line="216" w:lineRule="auto"/>
              <w:rPr>
                <w:b/>
                <w:sz w:val="22"/>
                <w:szCs w:val="22"/>
              </w:rPr>
            </w:pPr>
            <w:r w:rsidRPr="00002E86">
              <w:rPr>
                <w:b/>
                <w:sz w:val="22"/>
                <w:szCs w:val="22"/>
              </w:rPr>
              <w:t>Наименование подхода</w:t>
            </w:r>
          </w:p>
        </w:tc>
        <w:tc>
          <w:tcPr>
            <w:tcW w:w="1907" w:type="dxa"/>
            <w:vAlign w:val="center"/>
          </w:tcPr>
          <w:p w:rsidR="005F47E3" w:rsidRPr="00002E86" w:rsidRDefault="005F47E3" w:rsidP="004F4888">
            <w:pPr>
              <w:spacing w:line="216" w:lineRule="auto"/>
              <w:jc w:val="center"/>
              <w:rPr>
                <w:b/>
                <w:sz w:val="22"/>
                <w:szCs w:val="22"/>
              </w:rPr>
            </w:pPr>
            <w:r w:rsidRPr="00002E86">
              <w:rPr>
                <w:b/>
                <w:sz w:val="22"/>
                <w:szCs w:val="22"/>
              </w:rPr>
              <w:t>Затратный подход</w:t>
            </w:r>
          </w:p>
        </w:tc>
        <w:tc>
          <w:tcPr>
            <w:tcW w:w="1914" w:type="dxa"/>
            <w:vAlign w:val="center"/>
          </w:tcPr>
          <w:p w:rsidR="005F47E3" w:rsidRPr="00723EA1" w:rsidRDefault="005F47E3" w:rsidP="004F4888">
            <w:pPr>
              <w:spacing w:line="216" w:lineRule="auto"/>
              <w:jc w:val="center"/>
              <w:rPr>
                <w:b/>
                <w:sz w:val="22"/>
                <w:szCs w:val="22"/>
              </w:rPr>
            </w:pPr>
            <w:r w:rsidRPr="00723EA1">
              <w:rPr>
                <w:b/>
                <w:sz w:val="22"/>
                <w:szCs w:val="22"/>
              </w:rPr>
              <w:t>Доходный подход</w:t>
            </w:r>
          </w:p>
        </w:tc>
        <w:tc>
          <w:tcPr>
            <w:tcW w:w="2028" w:type="dxa"/>
            <w:tcBorders>
              <w:right w:val="nil"/>
            </w:tcBorders>
            <w:vAlign w:val="center"/>
          </w:tcPr>
          <w:p w:rsidR="005F47E3" w:rsidRPr="00723EA1" w:rsidRDefault="005F47E3" w:rsidP="004F4888">
            <w:pPr>
              <w:spacing w:line="216" w:lineRule="auto"/>
              <w:jc w:val="center"/>
              <w:rPr>
                <w:b/>
                <w:sz w:val="22"/>
                <w:szCs w:val="22"/>
              </w:rPr>
            </w:pPr>
            <w:r w:rsidRPr="00723EA1">
              <w:rPr>
                <w:b/>
                <w:sz w:val="22"/>
                <w:szCs w:val="22"/>
              </w:rPr>
              <w:t>Сравнительный подход</w:t>
            </w:r>
          </w:p>
        </w:tc>
      </w:tr>
      <w:tr w:rsidR="005F47E3" w:rsidRPr="00002E86" w:rsidTr="004F4888">
        <w:tblPrEx>
          <w:tblBorders>
            <w:left w:val="single" w:sz="4" w:space="0" w:color="auto"/>
            <w:right w:val="single" w:sz="4" w:space="0" w:color="auto"/>
          </w:tblBorders>
        </w:tblPrEx>
        <w:trPr>
          <w:trHeight w:val="20"/>
        </w:trPr>
        <w:tc>
          <w:tcPr>
            <w:tcW w:w="3614" w:type="dxa"/>
            <w:tcBorders>
              <w:left w:val="nil"/>
            </w:tcBorders>
            <w:vAlign w:val="center"/>
          </w:tcPr>
          <w:p w:rsidR="005F47E3" w:rsidRPr="00002E86" w:rsidRDefault="005F47E3" w:rsidP="004F4888">
            <w:pPr>
              <w:spacing w:line="216" w:lineRule="auto"/>
              <w:rPr>
                <w:sz w:val="22"/>
                <w:szCs w:val="22"/>
              </w:rPr>
            </w:pPr>
            <w:r w:rsidRPr="00002E86">
              <w:rPr>
                <w:b/>
                <w:sz w:val="22"/>
                <w:szCs w:val="22"/>
              </w:rPr>
              <w:t>Значение стоимости по подходу, руб.</w:t>
            </w:r>
          </w:p>
        </w:tc>
        <w:tc>
          <w:tcPr>
            <w:tcW w:w="1907" w:type="dxa"/>
            <w:vAlign w:val="center"/>
          </w:tcPr>
          <w:p w:rsidR="005F47E3" w:rsidRPr="00B321CE" w:rsidRDefault="005F47E3" w:rsidP="004F4888">
            <w:pPr>
              <w:spacing w:line="216" w:lineRule="auto"/>
              <w:jc w:val="center"/>
              <w:rPr>
                <w:sz w:val="22"/>
                <w:szCs w:val="22"/>
              </w:rPr>
            </w:pPr>
            <w:r w:rsidRPr="00B321CE">
              <w:rPr>
                <w:sz w:val="20"/>
              </w:rPr>
              <w:t xml:space="preserve">1 709 206 000 </w:t>
            </w:r>
          </w:p>
        </w:tc>
        <w:tc>
          <w:tcPr>
            <w:tcW w:w="1914" w:type="dxa"/>
            <w:vAlign w:val="center"/>
          </w:tcPr>
          <w:p w:rsidR="005F47E3" w:rsidRPr="00B321CE" w:rsidRDefault="005F47E3" w:rsidP="004F4888">
            <w:pPr>
              <w:spacing w:line="216" w:lineRule="auto"/>
              <w:jc w:val="center"/>
              <w:rPr>
                <w:sz w:val="22"/>
                <w:szCs w:val="22"/>
              </w:rPr>
            </w:pPr>
            <w:r w:rsidRPr="00B321CE">
              <w:rPr>
                <w:sz w:val="20"/>
              </w:rPr>
              <w:t xml:space="preserve">1 037 337 000 </w:t>
            </w:r>
          </w:p>
        </w:tc>
        <w:tc>
          <w:tcPr>
            <w:tcW w:w="2028" w:type="dxa"/>
            <w:tcBorders>
              <w:right w:val="nil"/>
            </w:tcBorders>
            <w:vAlign w:val="center"/>
          </w:tcPr>
          <w:p w:rsidR="005F47E3" w:rsidRPr="00B321CE" w:rsidRDefault="005F47E3" w:rsidP="004F4888">
            <w:pPr>
              <w:spacing w:line="216" w:lineRule="auto"/>
              <w:jc w:val="center"/>
              <w:rPr>
                <w:sz w:val="22"/>
                <w:szCs w:val="22"/>
              </w:rPr>
            </w:pPr>
            <w:r w:rsidRPr="00B321CE">
              <w:rPr>
                <w:sz w:val="20"/>
              </w:rPr>
              <w:t>Не применялся</w:t>
            </w:r>
          </w:p>
        </w:tc>
      </w:tr>
      <w:tr w:rsidR="005F47E3" w:rsidRPr="00002E86" w:rsidTr="004F4888">
        <w:tblPrEx>
          <w:tblBorders>
            <w:left w:val="single" w:sz="4" w:space="0" w:color="auto"/>
            <w:right w:val="single" w:sz="4" w:space="0" w:color="auto"/>
          </w:tblBorders>
        </w:tblPrEx>
        <w:trPr>
          <w:trHeight w:val="20"/>
        </w:trPr>
        <w:tc>
          <w:tcPr>
            <w:tcW w:w="3614" w:type="dxa"/>
            <w:tcBorders>
              <w:left w:val="nil"/>
            </w:tcBorders>
            <w:vAlign w:val="center"/>
          </w:tcPr>
          <w:p w:rsidR="005F47E3" w:rsidRPr="00002E86" w:rsidRDefault="005F47E3" w:rsidP="004F4888">
            <w:pPr>
              <w:spacing w:line="216" w:lineRule="auto"/>
              <w:rPr>
                <w:b/>
                <w:sz w:val="22"/>
                <w:szCs w:val="22"/>
              </w:rPr>
            </w:pPr>
            <w:r w:rsidRPr="00002E86">
              <w:rPr>
                <w:b/>
                <w:sz w:val="22"/>
                <w:szCs w:val="22"/>
              </w:rPr>
              <w:t>Итоговая величина рыночной стоимости Объекта оценки</w:t>
            </w:r>
            <w:r w:rsidRPr="00002E86">
              <w:rPr>
                <w:rStyle w:val="a7"/>
                <w:b/>
                <w:bCs/>
                <w:sz w:val="22"/>
                <w:szCs w:val="22"/>
              </w:rPr>
              <w:footnoteReference w:id="1"/>
            </w:r>
          </w:p>
        </w:tc>
        <w:tc>
          <w:tcPr>
            <w:tcW w:w="5849" w:type="dxa"/>
            <w:gridSpan w:val="3"/>
            <w:tcBorders>
              <w:right w:val="nil"/>
            </w:tcBorders>
            <w:vAlign w:val="center"/>
          </w:tcPr>
          <w:p w:rsidR="005F47E3" w:rsidRPr="00B321CE" w:rsidRDefault="005F47E3" w:rsidP="004F4888">
            <w:pPr>
              <w:spacing w:line="216" w:lineRule="auto"/>
              <w:jc w:val="center"/>
              <w:rPr>
                <w:b/>
                <w:sz w:val="22"/>
                <w:szCs w:val="22"/>
              </w:rPr>
            </w:pPr>
            <w:r w:rsidRPr="00B321CE">
              <w:rPr>
                <w:b/>
                <w:sz w:val="21"/>
                <w:szCs w:val="21"/>
              </w:rPr>
              <w:t>1 373 272 000 (Один миллиард триста семьдесят три миллиона двести семьдесят две тысячи) рублей РФ</w:t>
            </w:r>
          </w:p>
        </w:tc>
      </w:tr>
      <w:tr w:rsidR="005F47E3" w:rsidRPr="00002E86" w:rsidTr="004F4888">
        <w:tblPrEx>
          <w:tblBorders>
            <w:left w:val="single" w:sz="4" w:space="0" w:color="auto"/>
            <w:right w:val="single" w:sz="4" w:space="0" w:color="auto"/>
          </w:tblBorders>
        </w:tblPrEx>
        <w:trPr>
          <w:trHeight w:val="20"/>
        </w:trPr>
        <w:tc>
          <w:tcPr>
            <w:tcW w:w="9463" w:type="dxa"/>
            <w:gridSpan w:val="4"/>
            <w:tcBorders>
              <w:left w:val="nil"/>
              <w:right w:val="nil"/>
            </w:tcBorders>
            <w:vAlign w:val="center"/>
          </w:tcPr>
          <w:p w:rsidR="005F47E3" w:rsidRPr="00B321CE" w:rsidRDefault="005F47E3" w:rsidP="004F4888">
            <w:pPr>
              <w:spacing w:line="216" w:lineRule="auto"/>
              <w:jc w:val="center"/>
              <w:rPr>
                <w:b/>
                <w:sz w:val="22"/>
                <w:szCs w:val="22"/>
              </w:rPr>
            </w:pPr>
            <w:r w:rsidRPr="00B321CE">
              <w:rPr>
                <w:b/>
                <w:sz w:val="22"/>
                <w:szCs w:val="22"/>
              </w:rPr>
              <w:t>Дополнительно определяется</w:t>
            </w:r>
          </w:p>
        </w:tc>
      </w:tr>
      <w:tr w:rsidR="005F47E3" w:rsidRPr="00002E86" w:rsidTr="004F4888">
        <w:tblPrEx>
          <w:tblBorders>
            <w:left w:val="single" w:sz="4" w:space="0" w:color="auto"/>
            <w:right w:val="single" w:sz="4" w:space="0" w:color="auto"/>
          </w:tblBorders>
        </w:tblPrEx>
        <w:trPr>
          <w:trHeight w:val="20"/>
        </w:trPr>
        <w:tc>
          <w:tcPr>
            <w:tcW w:w="3614" w:type="dxa"/>
            <w:tcBorders>
              <w:left w:val="nil"/>
            </w:tcBorders>
            <w:vAlign w:val="center"/>
          </w:tcPr>
          <w:p w:rsidR="005F47E3" w:rsidRPr="00002E86" w:rsidRDefault="005F47E3" w:rsidP="004F4888">
            <w:pPr>
              <w:spacing w:line="216" w:lineRule="auto"/>
              <w:rPr>
                <w:b/>
                <w:sz w:val="22"/>
                <w:szCs w:val="22"/>
              </w:rPr>
            </w:pPr>
            <w:r>
              <w:rPr>
                <w:b/>
                <w:sz w:val="22"/>
                <w:szCs w:val="22"/>
              </w:rPr>
              <w:lastRenderedPageBreak/>
              <w:t>Р</w:t>
            </w:r>
            <w:r w:rsidRPr="00A8132A">
              <w:rPr>
                <w:b/>
                <w:sz w:val="22"/>
                <w:szCs w:val="22"/>
              </w:rPr>
              <w:t>ыночн</w:t>
            </w:r>
            <w:r>
              <w:rPr>
                <w:b/>
                <w:sz w:val="22"/>
                <w:szCs w:val="22"/>
              </w:rPr>
              <w:t>ая</w:t>
            </w:r>
            <w:r w:rsidRPr="00A8132A">
              <w:rPr>
                <w:b/>
                <w:sz w:val="22"/>
                <w:szCs w:val="22"/>
              </w:rPr>
              <w:t xml:space="preserve"> стоимост</w:t>
            </w:r>
            <w:r>
              <w:rPr>
                <w:b/>
                <w:sz w:val="22"/>
                <w:szCs w:val="22"/>
              </w:rPr>
              <w:t>ь</w:t>
            </w:r>
            <w:r w:rsidRPr="00A8132A">
              <w:rPr>
                <w:b/>
                <w:sz w:val="22"/>
                <w:szCs w:val="22"/>
              </w:rPr>
              <w:t xml:space="preserve"> 1</w:t>
            </w:r>
            <w:r>
              <w:rPr>
                <w:b/>
                <w:sz w:val="22"/>
                <w:szCs w:val="22"/>
              </w:rPr>
              <w:t xml:space="preserve"> (Одной)</w:t>
            </w:r>
            <w:r w:rsidRPr="00A8132A">
              <w:rPr>
                <w:b/>
                <w:sz w:val="22"/>
                <w:szCs w:val="22"/>
              </w:rPr>
              <w:t xml:space="preserve"> </w:t>
            </w:r>
            <w:r w:rsidRPr="00297FAF">
              <w:rPr>
                <w:b/>
                <w:sz w:val="22"/>
                <w:szCs w:val="22"/>
              </w:rPr>
              <w:t>обыкновенной именной акции в составе 100% пакета</w:t>
            </w:r>
            <w:r w:rsidRPr="00297FAF">
              <w:rPr>
                <w:b/>
                <w:sz w:val="22"/>
                <w:szCs w:val="22"/>
                <w:vertAlign w:val="superscript"/>
              </w:rPr>
              <w:t xml:space="preserve"> </w:t>
            </w:r>
            <w:r w:rsidRPr="00297FAF">
              <w:rPr>
                <w:b/>
                <w:sz w:val="22"/>
                <w:szCs w:val="22"/>
              </w:rPr>
              <w:t>АО «НПП «Респиратор»</w:t>
            </w:r>
          </w:p>
        </w:tc>
        <w:tc>
          <w:tcPr>
            <w:tcW w:w="5849" w:type="dxa"/>
            <w:gridSpan w:val="3"/>
            <w:tcBorders>
              <w:right w:val="nil"/>
            </w:tcBorders>
            <w:vAlign w:val="center"/>
          </w:tcPr>
          <w:p w:rsidR="005F47E3" w:rsidRPr="00B321CE" w:rsidRDefault="005F47E3" w:rsidP="004F4888">
            <w:pPr>
              <w:spacing w:line="216" w:lineRule="auto"/>
              <w:jc w:val="center"/>
              <w:rPr>
                <w:b/>
                <w:sz w:val="21"/>
                <w:szCs w:val="21"/>
              </w:rPr>
            </w:pPr>
            <w:r w:rsidRPr="00B321CE">
              <w:rPr>
                <w:b/>
                <w:sz w:val="21"/>
                <w:szCs w:val="21"/>
              </w:rPr>
              <w:t>53,37 руб. (Пятьдесят три рубля 37 копеек РФ)</w:t>
            </w:r>
          </w:p>
        </w:tc>
      </w:tr>
    </w:tbl>
    <w:p w:rsidR="005F47E3" w:rsidRDefault="005F47E3" w:rsidP="005F47E3"/>
    <w:p w:rsidR="005F47E3" w:rsidRDefault="005F47E3" w:rsidP="005F47E3">
      <w:pPr>
        <w:rPr>
          <w:b/>
          <w:sz w:val="16"/>
          <w:szCs w:val="16"/>
        </w:rPr>
      </w:pPr>
    </w:p>
    <w:p w:rsidR="005F47E3" w:rsidRPr="00927784" w:rsidRDefault="005F47E3" w:rsidP="005F47E3">
      <w:r w:rsidRPr="00927784">
        <w:rPr>
          <w:b/>
        </w:rPr>
        <w:t>Ограничения и пределы применения полученной итоговой стоимости:</w:t>
      </w:r>
    </w:p>
    <w:p w:rsidR="005F47E3" w:rsidRPr="00927784" w:rsidRDefault="005F47E3" w:rsidP="005F47E3">
      <w:pPr>
        <w:pStyle w:val="a3"/>
        <w:numPr>
          <w:ilvl w:val="0"/>
          <w:numId w:val="2"/>
        </w:numPr>
        <w:spacing w:after="0" w:line="240" w:lineRule="auto"/>
        <w:ind w:left="567" w:hanging="567"/>
        <w:jc w:val="both"/>
        <w:rPr>
          <w:rFonts w:ascii="Times New Roman" w:hAnsi="Times New Roman"/>
          <w:sz w:val="24"/>
          <w:szCs w:val="24"/>
        </w:rPr>
      </w:pPr>
      <w:r w:rsidRPr="00927784">
        <w:rPr>
          <w:rFonts w:ascii="Times New Roman" w:hAnsi="Times New Roman"/>
          <w:sz w:val="24"/>
          <w:szCs w:val="24"/>
        </w:rPr>
        <w:t>Выводы об итоговой величине рыночной стоимости действительны только для Объекта оценки;</w:t>
      </w:r>
    </w:p>
    <w:p w:rsidR="005F47E3" w:rsidRPr="00927784" w:rsidRDefault="005F47E3" w:rsidP="005F47E3">
      <w:pPr>
        <w:pStyle w:val="a3"/>
        <w:numPr>
          <w:ilvl w:val="0"/>
          <w:numId w:val="2"/>
        </w:numPr>
        <w:spacing w:after="0" w:line="240" w:lineRule="auto"/>
        <w:ind w:left="567" w:hanging="567"/>
        <w:jc w:val="both"/>
        <w:rPr>
          <w:rFonts w:ascii="Times New Roman" w:hAnsi="Times New Roman"/>
          <w:sz w:val="24"/>
          <w:szCs w:val="24"/>
        </w:rPr>
      </w:pPr>
      <w:r w:rsidRPr="00927784">
        <w:rPr>
          <w:rFonts w:ascii="Times New Roman" w:hAnsi="Times New Roman"/>
          <w:sz w:val="24"/>
          <w:szCs w:val="24"/>
        </w:rPr>
        <w:t>Итоговая величина рыночной стоимости Объекта оценки действительна только на дату оценки. Исполнитель и Оценщик</w:t>
      </w:r>
      <w:r>
        <w:rPr>
          <w:rFonts w:ascii="Times New Roman" w:hAnsi="Times New Roman"/>
          <w:sz w:val="24"/>
          <w:szCs w:val="24"/>
        </w:rPr>
        <w:t>и</w:t>
      </w:r>
      <w:r w:rsidRPr="00927784">
        <w:rPr>
          <w:rFonts w:ascii="Times New Roman" w:hAnsi="Times New Roman"/>
          <w:sz w:val="24"/>
          <w:szCs w:val="24"/>
        </w:rPr>
        <w:t xml:space="preserve"> не принимают на себя ответственность за последующие изменения социальных, экономических и юридических условий, которые могут повлиять на стоимость Объекта оценки;</w:t>
      </w:r>
    </w:p>
    <w:p w:rsidR="005F47E3" w:rsidRPr="00927784" w:rsidRDefault="005F47E3" w:rsidP="005F47E3">
      <w:pPr>
        <w:pStyle w:val="a3"/>
        <w:numPr>
          <w:ilvl w:val="0"/>
          <w:numId w:val="2"/>
        </w:numPr>
        <w:spacing w:after="0" w:line="240" w:lineRule="auto"/>
        <w:ind w:left="567" w:hanging="567"/>
        <w:jc w:val="both"/>
        <w:rPr>
          <w:rFonts w:ascii="Times New Roman" w:hAnsi="Times New Roman"/>
          <w:sz w:val="24"/>
          <w:szCs w:val="24"/>
        </w:rPr>
      </w:pPr>
      <w:r w:rsidRPr="00927784">
        <w:rPr>
          <w:rFonts w:ascii="Times New Roman" w:hAnsi="Times New Roman"/>
          <w:sz w:val="24"/>
          <w:szCs w:val="24"/>
        </w:rPr>
        <w:t xml:space="preserve">Использование Заказчиком и/или другими пользователями отчета об оценке итоговой величины рыночной стоимости Объекта оценки по назначению, отличному, от указанного в </w:t>
      </w:r>
      <w:r>
        <w:rPr>
          <w:rFonts w:ascii="Times New Roman" w:hAnsi="Times New Roman"/>
          <w:sz w:val="24"/>
          <w:szCs w:val="24"/>
        </w:rPr>
        <w:t>з</w:t>
      </w:r>
      <w:r w:rsidRPr="00927784">
        <w:rPr>
          <w:rFonts w:ascii="Times New Roman" w:hAnsi="Times New Roman"/>
          <w:sz w:val="24"/>
          <w:szCs w:val="24"/>
        </w:rPr>
        <w:t>адании на оценку, будет являться некорректным;</w:t>
      </w:r>
    </w:p>
    <w:p w:rsidR="005F47E3" w:rsidRPr="00927784" w:rsidRDefault="005F47E3" w:rsidP="005F47E3">
      <w:pPr>
        <w:pStyle w:val="a3"/>
        <w:numPr>
          <w:ilvl w:val="0"/>
          <w:numId w:val="2"/>
        </w:numPr>
        <w:spacing w:after="0" w:line="240" w:lineRule="auto"/>
        <w:ind w:left="567" w:hanging="567"/>
        <w:jc w:val="both"/>
        <w:rPr>
          <w:rFonts w:ascii="Times New Roman" w:hAnsi="Times New Roman"/>
          <w:sz w:val="24"/>
          <w:szCs w:val="24"/>
        </w:rPr>
      </w:pPr>
      <w:r w:rsidRPr="00927784">
        <w:rPr>
          <w:rFonts w:ascii="Times New Roman" w:hAnsi="Times New Roman"/>
          <w:sz w:val="24"/>
          <w:szCs w:val="24"/>
        </w:rPr>
        <w:t>Настоящий отчет об оценке и итоговая величина рыночной стоимости Объекта оценки, определенная в настоящем отчете об оценке, не могут быть использованы для целей кредитования под залог оцениваемого объекта.</w:t>
      </w:r>
    </w:p>
    <w:p w:rsidR="005F47E3" w:rsidRPr="00927784" w:rsidRDefault="005F47E3" w:rsidP="005F47E3">
      <w:pPr>
        <w:pStyle w:val="a3"/>
        <w:numPr>
          <w:ilvl w:val="0"/>
          <w:numId w:val="2"/>
        </w:numPr>
        <w:spacing w:after="0" w:line="240" w:lineRule="auto"/>
        <w:ind w:left="567" w:hanging="567"/>
        <w:jc w:val="both"/>
        <w:rPr>
          <w:rFonts w:ascii="Times New Roman" w:hAnsi="Times New Roman"/>
          <w:sz w:val="24"/>
          <w:szCs w:val="24"/>
        </w:rPr>
      </w:pPr>
      <w:r w:rsidRPr="00927784">
        <w:rPr>
          <w:rFonts w:ascii="Times New Roman" w:hAnsi="Times New Roman"/>
          <w:sz w:val="24"/>
          <w:szCs w:val="24"/>
        </w:rPr>
        <w:t>Исполнитель и Оценщик</w:t>
      </w:r>
      <w:r>
        <w:rPr>
          <w:rFonts w:ascii="Times New Roman" w:hAnsi="Times New Roman"/>
          <w:sz w:val="24"/>
          <w:szCs w:val="24"/>
        </w:rPr>
        <w:t>и</w:t>
      </w:r>
      <w:r w:rsidRPr="00927784">
        <w:rPr>
          <w:rFonts w:ascii="Times New Roman" w:hAnsi="Times New Roman"/>
          <w:sz w:val="24"/>
          <w:szCs w:val="24"/>
        </w:rPr>
        <w:t xml:space="preserve"> не гарантируют того, что всякие сделки с Объектом оценки будут осуществлены по цене, равной его итоговой величине рыночной стоимости.</w:t>
      </w:r>
    </w:p>
    <w:p w:rsidR="005F47E3" w:rsidRPr="00927784" w:rsidRDefault="005F47E3" w:rsidP="005F47E3"/>
    <w:p w:rsidR="005F47E3" w:rsidRPr="00927784" w:rsidRDefault="005F47E3" w:rsidP="005F47E3">
      <w:r w:rsidRPr="00927784">
        <w:t>Оценщики, принимавшие участие в оценке:</w:t>
      </w:r>
    </w:p>
    <w:p w:rsidR="005F47E3" w:rsidRPr="00927784" w:rsidRDefault="005F47E3" w:rsidP="005F47E3"/>
    <w:p w:rsidR="005F47E3" w:rsidRPr="00927784" w:rsidRDefault="005F47E3" w:rsidP="005F47E3"/>
    <w:p w:rsidR="005F47E3" w:rsidRPr="00927784" w:rsidRDefault="005F47E3" w:rsidP="005F47E3"/>
    <w:p w:rsidR="005F47E3" w:rsidRPr="00927784" w:rsidRDefault="005F47E3" w:rsidP="005F47E3">
      <w:r w:rsidRPr="005D4B4E">
        <w:t xml:space="preserve">Оценщик </w:t>
      </w:r>
      <w:r w:rsidRPr="005D4B4E">
        <w:rPr>
          <w:lang w:val="en-US"/>
        </w:rPr>
        <w:t>I</w:t>
      </w:r>
      <w:r w:rsidRPr="005D4B4E">
        <w:t xml:space="preserve"> категории</w:t>
      </w:r>
      <w:r w:rsidRPr="005D4B4E">
        <w:tab/>
      </w:r>
      <w:r w:rsidRPr="005D4B4E">
        <w:tab/>
      </w:r>
      <w:r w:rsidRPr="005D4B4E">
        <w:tab/>
      </w:r>
      <w:r w:rsidRPr="005D4B4E">
        <w:tab/>
      </w:r>
      <w:r w:rsidRPr="005D4B4E">
        <w:tab/>
      </w:r>
      <w:r w:rsidRPr="005D4B4E">
        <w:tab/>
      </w:r>
      <w:r>
        <w:t>В</w:t>
      </w:r>
      <w:r w:rsidRPr="005D4B4E">
        <w:t>.</w:t>
      </w:r>
      <w:r>
        <w:t>Г</w:t>
      </w:r>
      <w:r w:rsidRPr="005D4B4E">
        <w:t xml:space="preserve">. </w:t>
      </w:r>
      <w:r>
        <w:t>Крайнюченко</w:t>
      </w:r>
    </w:p>
    <w:p w:rsidR="005F47E3" w:rsidRDefault="005F47E3" w:rsidP="005F47E3"/>
    <w:p w:rsidR="005F47E3" w:rsidRDefault="005F47E3" w:rsidP="005F47E3"/>
    <w:p w:rsidR="005F47E3" w:rsidRPr="00927784" w:rsidRDefault="005F47E3" w:rsidP="005F47E3"/>
    <w:p w:rsidR="005F47E3" w:rsidRDefault="005F47E3" w:rsidP="005F47E3">
      <w:r>
        <w:t xml:space="preserve">Оценщик </w:t>
      </w:r>
      <w:r w:rsidRPr="005D4B4E">
        <w:rPr>
          <w:lang w:val="en-US"/>
        </w:rPr>
        <w:t>I</w:t>
      </w:r>
      <w:r w:rsidRPr="005D4B4E">
        <w:t xml:space="preserve"> категории</w:t>
      </w:r>
      <w:r w:rsidRPr="005D4B4E">
        <w:tab/>
      </w:r>
      <w:r w:rsidRPr="005D4B4E">
        <w:tab/>
      </w:r>
      <w:r w:rsidRPr="005D4B4E">
        <w:tab/>
      </w:r>
      <w:r w:rsidRPr="005D4B4E">
        <w:tab/>
      </w:r>
      <w:r w:rsidRPr="005D4B4E">
        <w:tab/>
      </w:r>
      <w:r w:rsidRPr="005D4B4E">
        <w:tab/>
      </w:r>
      <w:r>
        <w:t>Н.В.</w:t>
      </w:r>
      <w:r w:rsidRPr="005D4B4E">
        <w:t xml:space="preserve"> </w:t>
      </w:r>
      <w:r>
        <w:t>Вуколова</w:t>
      </w:r>
    </w:p>
    <w:p w:rsidR="005F47E3" w:rsidRDefault="005F47E3" w:rsidP="005F47E3"/>
    <w:p w:rsidR="005F47E3" w:rsidRDefault="005F47E3" w:rsidP="005F47E3">
      <w:r>
        <w:br w:type="page"/>
      </w:r>
    </w:p>
    <w:p w:rsidR="005F47E3" w:rsidRPr="00927784" w:rsidRDefault="005F47E3" w:rsidP="005F47E3">
      <w:pPr>
        <w:pStyle w:val="1"/>
        <w:numPr>
          <w:ilvl w:val="0"/>
          <w:numId w:val="1"/>
        </w:numPr>
        <w:tabs>
          <w:tab w:val="left" w:pos="567"/>
        </w:tabs>
        <w:spacing w:before="120" w:after="120"/>
        <w:ind w:left="0" w:firstLine="0"/>
        <w:rPr>
          <w:w w:val="100"/>
          <w:sz w:val="24"/>
        </w:rPr>
      </w:pPr>
      <w:bookmarkStart w:id="5" w:name="_Toc40256193"/>
      <w:bookmarkStart w:id="6" w:name="_Toc61170715"/>
      <w:r w:rsidRPr="00927784">
        <w:rPr>
          <w:w w:val="100"/>
          <w:sz w:val="24"/>
        </w:rPr>
        <w:t>Общая информация</w:t>
      </w:r>
      <w:bookmarkEnd w:id="5"/>
      <w:bookmarkEnd w:id="6"/>
    </w:p>
    <w:p w:rsidR="005F47E3" w:rsidRPr="00927784" w:rsidRDefault="005F47E3" w:rsidP="005F47E3">
      <w:pPr>
        <w:pStyle w:val="2"/>
        <w:numPr>
          <w:ilvl w:val="1"/>
          <w:numId w:val="1"/>
        </w:numPr>
        <w:tabs>
          <w:tab w:val="left" w:pos="567"/>
        </w:tabs>
        <w:spacing w:before="120" w:after="120" w:line="240" w:lineRule="auto"/>
        <w:ind w:left="0" w:firstLine="0"/>
        <w:rPr>
          <w:smallCaps/>
          <w:sz w:val="24"/>
          <w:szCs w:val="24"/>
        </w:rPr>
      </w:pPr>
      <w:bookmarkStart w:id="7" w:name="_Toc40256194"/>
      <w:bookmarkStart w:id="8" w:name="_Toc61170716"/>
      <w:r w:rsidRPr="00927784">
        <w:rPr>
          <w:smallCaps/>
          <w:sz w:val="24"/>
          <w:szCs w:val="24"/>
        </w:rPr>
        <w:t>Задание на оценку</w:t>
      </w:r>
      <w:bookmarkEnd w:id="7"/>
      <w:bookmarkEnd w:id="8"/>
    </w:p>
    <w:p w:rsidR="005F47E3" w:rsidRDefault="005F47E3" w:rsidP="005F47E3">
      <w:pPr>
        <w:autoSpaceDE w:val="0"/>
        <w:autoSpaceDN w:val="0"/>
        <w:adjustRightInd w:val="0"/>
        <w:rPr>
          <w:b/>
        </w:rPr>
      </w:pPr>
      <w:bookmarkStart w:id="9" w:name="_Ref502127610"/>
      <w:r w:rsidRPr="00927784">
        <w:rPr>
          <w:b/>
        </w:rPr>
        <w:t xml:space="preserve">Табл. </w:t>
      </w:r>
      <w:r w:rsidRPr="00927784">
        <w:rPr>
          <w:b/>
        </w:rPr>
        <w:fldChar w:fldCharType="begin"/>
      </w:r>
      <w:r w:rsidRPr="00927784">
        <w:rPr>
          <w:b/>
        </w:rPr>
        <w:instrText xml:space="preserve"> SEQ Табл. \* ARABIC </w:instrText>
      </w:r>
      <w:r w:rsidRPr="00927784">
        <w:rPr>
          <w:b/>
        </w:rPr>
        <w:fldChar w:fldCharType="separate"/>
      </w:r>
      <w:r>
        <w:rPr>
          <w:b/>
          <w:noProof/>
        </w:rPr>
        <w:t>1</w:t>
      </w:r>
      <w:r w:rsidRPr="00927784">
        <w:rPr>
          <w:b/>
        </w:rPr>
        <w:fldChar w:fldCharType="end"/>
      </w:r>
      <w:bookmarkEnd w:id="9"/>
      <w:r w:rsidRPr="00927784">
        <w:rPr>
          <w:b/>
        </w:rPr>
        <w:t>. Задание на оценку</w:t>
      </w:r>
    </w:p>
    <w:tbl>
      <w:tblPr>
        <w:tblW w:w="4944" w:type="pct"/>
        <w:tblInd w:w="105" w:type="dxa"/>
        <w:tblBorders>
          <w:top w:val="single" w:sz="4" w:space="0" w:color="auto"/>
          <w:bottom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20"/>
        <w:gridCol w:w="6434"/>
      </w:tblGrid>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overflowPunct w:val="0"/>
              <w:autoSpaceDE w:val="0"/>
              <w:autoSpaceDN w:val="0"/>
              <w:adjustRightInd w:val="0"/>
              <w:jc w:val="left"/>
              <w:textAlignment w:val="baseline"/>
              <w:rPr>
                <w:sz w:val="20"/>
                <w:szCs w:val="20"/>
              </w:rPr>
            </w:pPr>
            <w:r w:rsidRPr="00D84C5E">
              <w:rPr>
                <w:sz w:val="20"/>
                <w:szCs w:val="20"/>
              </w:rPr>
              <w:t>Объект оценки</w:t>
            </w:r>
          </w:p>
        </w:tc>
        <w:tc>
          <w:tcPr>
            <w:tcW w:w="3439" w:type="pct"/>
            <w:shd w:val="clear" w:color="auto" w:fill="auto"/>
            <w:vAlign w:val="center"/>
          </w:tcPr>
          <w:p w:rsidR="005F47E3" w:rsidRPr="00D84C5E" w:rsidRDefault="005F47E3" w:rsidP="004F4888">
            <w:pPr>
              <w:overflowPunct w:val="0"/>
              <w:autoSpaceDE w:val="0"/>
              <w:autoSpaceDN w:val="0"/>
              <w:adjustRightInd w:val="0"/>
              <w:ind w:left="145"/>
              <w:textAlignment w:val="baseline"/>
              <w:rPr>
                <w:sz w:val="20"/>
                <w:szCs w:val="20"/>
              </w:rPr>
            </w:pPr>
            <w:r w:rsidRPr="00D84C5E">
              <w:rPr>
                <w:rFonts w:eastAsia="Calibri"/>
                <w:sz w:val="20"/>
                <w:szCs w:val="20"/>
                <w:lang w:eastAsia="en-US"/>
              </w:rPr>
              <w:t xml:space="preserve">Пакет </w:t>
            </w:r>
            <w:r w:rsidRPr="00B931C3">
              <w:rPr>
                <w:rFonts w:eastAsia="Calibri"/>
                <w:sz w:val="20"/>
                <w:szCs w:val="20"/>
                <w:lang w:eastAsia="en-US"/>
              </w:rPr>
              <w:t xml:space="preserve">обыкновенных именных бездокументарных акций АО «НПП «Респиратор» в количестве </w:t>
            </w:r>
            <w:r>
              <w:rPr>
                <w:rFonts w:eastAsia="Calibri"/>
                <w:sz w:val="20"/>
                <w:szCs w:val="20"/>
                <w:lang w:eastAsia="en-US"/>
              </w:rPr>
              <w:t>25 729 833 шт</w:t>
            </w:r>
            <w:r w:rsidRPr="00B931C3">
              <w:rPr>
                <w:rFonts w:eastAsia="Calibri"/>
                <w:sz w:val="20"/>
                <w:szCs w:val="20"/>
                <w:lang w:eastAsia="en-US"/>
              </w:rPr>
              <w:t>., составляющий  100% от уставного капитала общества</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overflowPunct w:val="0"/>
              <w:autoSpaceDE w:val="0"/>
              <w:autoSpaceDN w:val="0"/>
              <w:adjustRightInd w:val="0"/>
              <w:jc w:val="left"/>
              <w:textAlignment w:val="baseline"/>
              <w:rPr>
                <w:sz w:val="20"/>
                <w:szCs w:val="20"/>
              </w:rPr>
            </w:pPr>
            <w:r w:rsidRPr="00D84C5E">
              <w:rPr>
                <w:sz w:val="20"/>
                <w:szCs w:val="20"/>
              </w:rPr>
              <w:t>Описание Объекта оценки, позволяющее провести его идентификацию</w:t>
            </w:r>
          </w:p>
        </w:tc>
        <w:tc>
          <w:tcPr>
            <w:tcW w:w="3439" w:type="pct"/>
            <w:shd w:val="clear" w:color="auto" w:fill="auto"/>
            <w:vAlign w:val="center"/>
          </w:tcPr>
          <w:p w:rsidR="005F47E3" w:rsidRPr="00672CC7" w:rsidRDefault="005F47E3" w:rsidP="004F4888">
            <w:pPr>
              <w:overflowPunct w:val="0"/>
              <w:autoSpaceDE w:val="0"/>
              <w:autoSpaceDN w:val="0"/>
              <w:adjustRightInd w:val="0"/>
              <w:ind w:left="145"/>
              <w:textAlignment w:val="baseline"/>
              <w:rPr>
                <w:sz w:val="20"/>
                <w:szCs w:val="20"/>
              </w:rPr>
            </w:pPr>
            <w:r w:rsidRPr="00672CC7">
              <w:rPr>
                <w:sz w:val="20"/>
                <w:szCs w:val="20"/>
              </w:rPr>
              <w:t xml:space="preserve">Количество ценных бумаг: </w:t>
            </w:r>
            <w:r>
              <w:rPr>
                <w:sz w:val="20"/>
                <w:szCs w:val="20"/>
              </w:rPr>
              <w:t>25 729 833 шт</w:t>
            </w:r>
            <w:r w:rsidRPr="00672CC7">
              <w:rPr>
                <w:sz w:val="20"/>
                <w:szCs w:val="20"/>
              </w:rPr>
              <w:t>.</w:t>
            </w:r>
          </w:p>
          <w:p w:rsidR="005F47E3" w:rsidRPr="00672CC7" w:rsidRDefault="005F47E3" w:rsidP="004F4888">
            <w:pPr>
              <w:overflowPunct w:val="0"/>
              <w:autoSpaceDE w:val="0"/>
              <w:autoSpaceDN w:val="0"/>
              <w:adjustRightInd w:val="0"/>
              <w:ind w:left="145"/>
              <w:textAlignment w:val="baseline"/>
              <w:rPr>
                <w:sz w:val="20"/>
                <w:szCs w:val="20"/>
              </w:rPr>
            </w:pPr>
            <w:r w:rsidRPr="00672CC7">
              <w:rPr>
                <w:sz w:val="20"/>
                <w:szCs w:val="20"/>
              </w:rPr>
              <w:t>Категория (тип) ценных бумаг: обыкновенные именные бездокументарные акции</w:t>
            </w:r>
          </w:p>
          <w:p w:rsidR="005F47E3" w:rsidRPr="00672CC7" w:rsidRDefault="005F47E3" w:rsidP="004F4888">
            <w:pPr>
              <w:overflowPunct w:val="0"/>
              <w:autoSpaceDE w:val="0"/>
              <w:autoSpaceDN w:val="0"/>
              <w:adjustRightInd w:val="0"/>
              <w:ind w:left="145"/>
              <w:textAlignment w:val="baseline"/>
              <w:rPr>
                <w:sz w:val="20"/>
                <w:szCs w:val="20"/>
              </w:rPr>
            </w:pPr>
            <w:r w:rsidRPr="00672CC7">
              <w:rPr>
                <w:sz w:val="20"/>
                <w:szCs w:val="20"/>
              </w:rPr>
              <w:t xml:space="preserve">Государственный регистрационный номер выпуска ценных бумаг: </w:t>
            </w:r>
            <w:r w:rsidRPr="00930D5D">
              <w:rPr>
                <w:sz w:val="20"/>
                <w:szCs w:val="20"/>
              </w:rPr>
              <w:t>1-01-10334-А  и 1-01-10334-А-001</w:t>
            </w:r>
            <w:r w:rsidRPr="00930D5D">
              <w:rPr>
                <w:sz w:val="20"/>
                <w:szCs w:val="20"/>
                <w:lang w:val="en-US"/>
              </w:rPr>
              <w:t>D</w:t>
            </w:r>
          </w:p>
          <w:p w:rsidR="005F47E3" w:rsidRPr="00D84C5E" w:rsidRDefault="005F47E3" w:rsidP="004F4888">
            <w:pPr>
              <w:overflowPunct w:val="0"/>
              <w:autoSpaceDE w:val="0"/>
              <w:autoSpaceDN w:val="0"/>
              <w:adjustRightInd w:val="0"/>
              <w:spacing w:line="240" w:lineRule="atLeast"/>
              <w:ind w:left="145" w:right="165"/>
              <w:textAlignment w:val="baseline"/>
              <w:rPr>
                <w:rFonts w:eastAsia="Calibri"/>
                <w:sz w:val="20"/>
                <w:szCs w:val="20"/>
              </w:rPr>
            </w:pPr>
            <w:r w:rsidRPr="00672CC7">
              <w:rPr>
                <w:sz w:val="20"/>
                <w:szCs w:val="20"/>
              </w:rPr>
              <w:t xml:space="preserve">Дата государственной регистрации выпуска ценных бумаг: </w:t>
            </w:r>
            <w:r w:rsidRPr="00930D5D">
              <w:rPr>
                <w:sz w:val="20"/>
                <w:szCs w:val="20"/>
              </w:rPr>
              <w:t xml:space="preserve">09.06.1994 г. и 26.03.2021 </w:t>
            </w:r>
            <w:r w:rsidRPr="00672CC7">
              <w:rPr>
                <w:sz w:val="20"/>
                <w:szCs w:val="20"/>
              </w:rPr>
              <w:t>г.</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overflowPunct w:val="0"/>
              <w:autoSpaceDE w:val="0"/>
              <w:autoSpaceDN w:val="0"/>
              <w:adjustRightInd w:val="0"/>
              <w:jc w:val="left"/>
              <w:textAlignment w:val="baseline"/>
              <w:rPr>
                <w:sz w:val="20"/>
                <w:szCs w:val="20"/>
              </w:rPr>
            </w:pPr>
            <w:r w:rsidRPr="00D84C5E">
              <w:rPr>
                <w:sz w:val="20"/>
                <w:szCs w:val="20"/>
              </w:rPr>
              <w:t>Информация об эмитенте</w:t>
            </w:r>
          </w:p>
        </w:tc>
        <w:tc>
          <w:tcPr>
            <w:tcW w:w="3439" w:type="pct"/>
            <w:shd w:val="clear" w:color="auto" w:fill="auto"/>
            <w:vAlign w:val="center"/>
          </w:tcPr>
          <w:p w:rsidR="005F47E3" w:rsidRPr="00D84C5E" w:rsidRDefault="005F47E3" w:rsidP="004F4888">
            <w:pPr>
              <w:overflowPunct w:val="0"/>
              <w:autoSpaceDE w:val="0"/>
              <w:autoSpaceDN w:val="0"/>
              <w:adjustRightInd w:val="0"/>
              <w:ind w:left="145"/>
              <w:textAlignment w:val="baseline"/>
              <w:rPr>
                <w:sz w:val="20"/>
                <w:szCs w:val="20"/>
              </w:rPr>
            </w:pPr>
            <w:r w:rsidRPr="00D84C5E">
              <w:rPr>
                <w:sz w:val="20"/>
                <w:szCs w:val="20"/>
              </w:rPr>
              <w:t>Полное фирменное наименование</w:t>
            </w:r>
            <w:r w:rsidRPr="00D84C5E">
              <w:rPr>
                <w:b/>
                <w:sz w:val="20"/>
                <w:szCs w:val="20"/>
              </w:rPr>
              <w:t xml:space="preserve">: </w:t>
            </w:r>
            <w:r w:rsidRPr="00D84C5E">
              <w:rPr>
                <w:sz w:val="20"/>
                <w:szCs w:val="20"/>
              </w:rPr>
              <w:t>Акционерное общество «Научно-производственное предприятие «Респиратор»</w:t>
            </w:r>
          </w:p>
          <w:p w:rsidR="005F47E3" w:rsidRPr="00D84C5E" w:rsidRDefault="005F47E3" w:rsidP="004F4888">
            <w:pPr>
              <w:overflowPunct w:val="0"/>
              <w:autoSpaceDE w:val="0"/>
              <w:autoSpaceDN w:val="0"/>
              <w:adjustRightInd w:val="0"/>
              <w:ind w:left="145"/>
              <w:textAlignment w:val="baseline"/>
              <w:rPr>
                <w:sz w:val="20"/>
                <w:szCs w:val="20"/>
              </w:rPr>
            </w:pPr>
            <w:r w:rsidRPr="00D84C5E">
              <w:rPr>
                <w:sz w:val="20"/>
                <w:szCs w:val="20"/>
              </w:rPr>
              <w:t>Сокращенное фирменное наименование: АО «НПП «Респиратор»</w:t>
            </w:r>
          </w:p>
          <w:p w:rsidR="005F47E3" w:rsidRPr="00D84C5E" w:rsidRDefault="005F47E3" w:rsidP="004F4888">
            <w:pPr>
              <w:overflowPunct w:val="0"/>
              <w:autoSpaceDE w:val="0"/>
              <w:autoSpaceDN w:val="0"/>
              <w:adjustRightInd w:val="0"/>
              <w:ind w:left="145"/>
              <w:textAlignment w:val="baseline"/>
              <w:rPr>
                <w:sz w:val="20"/>
                <w:szCs w:val="20"/>
              </w:rPr>
            </w:pPr>
            <w:r w:rsidRPr="00D84C5E">
              <w:rPr>
                <w:sz w:val="20"/>
                <w:szCs w:val="20"/>
              </w:rPr>
              <w:t>Место нахождения: 142602, Московская область, г. Орехово-Зуево, ул. Гагарина, д. 1</w:t>
            </w:r>
          </w:p>
          <w:p w:rsidR="005F47E3" w:rsidRPr="00D84C5E" w:rsidRDefault="005F47E3" w:rsidP="004F4888">
            <w:pPr>
              <w:overflowPunct w:val="0"/>
              <w:autoSpaceDE w:val="0"/>
              <w:autoSpaceDN w:val="0"/>
              <w:adjustRightInd w:val="0"/>
              <w:ind w:left="145"/>
              <w:textAlignment w:val="baseline"/>
              <w:rPr>
                <w:sz w:val="20"/>
                <w:szCs w:val="20"/>
              </w:rPr>
            </w:pPr>
            <w:r w:rsidRPr="00D84C5E">
              <w:rPr>
                <w:sz w:val="20"/>
                <w:szCs w:val="20"/>
              </w:rPr>
              <w:t>ОГРН: 1025004583108 дата присвоения ОГРН: 14.10.2002</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overflowPunct w:val="0"/>
              <w:autoSpaceDE w:val="0"/>
              <w:autoSpaceDN w:val="0"/>
              <w:adjustRightInd w:val="0"/>
              <w:jc w:val="left"/>
              <w:textAlignment w:val="baseline"/>
              <w:rPr>
                <w:rFonts w:eastAsia="Calibri"/>
                <w:sz w:val="20"/>
                <w:szCs w:val="20"/>
                <w:lang w:eastAsia="en-US"/>
              </w:rPr>
            </w:pPr>
            <w:r w:rsidRPr="00D84C5E">
              <w:rPr>
                <w:rFonts w:eastAsia="Calibri"/>
                <w:sz w:val="20"/>
                <w:szCs w:val="20"/>
                <w:lang w:eastAsia="en-US"/>
              </w:rPr>
              <w:t>Права на Объект оценки, учитываемые при определении стоимости объекта оценки</w:t>
            </w:r>
          </w:p>
        </w:tc>
        <w:tc>
          <w:tcPr>
            <w:tcW w:w="3439" w:type="pct"/>
            <w:shd w:val="clear" w:color="auto" w:fill="auto"/>
            <w:tcMar>
              <w:top w:w="0" w:type="dxa"/>
              <w:left w:w="105" w:type="dxa"/>
              <w:bottom w:w="0" w:type="dxa"/>
              <w:right w:w="105" w:type="dxa"/>
            </w:tcMar>
            <w:vAlign w:val="center"/>
          </w:tcPr>
          <w:p w:rsidR="005F47E3" w:rsidRPr="00D84C5E" w:rsidRDefault="005F47E3" w:rsidP="004F4888">
            <w:pPr>
              <w:overflowPunct w:val="0"/>
              <w:autoSpaceDE w:val="0"/>
              <w:autoSpaceDN w:val="0"/>
              <w:adjustRightInd w:val="0"/>
              <w:textAlignment w:val="baseline"/>
              <w:rPr>
                <w:sz w:val="20"/>
                <w:szCs w:val="20"/>
              </w:rPr>
            </w:pPr>
            <w:r w:rsidRPr="00D84C5E">
              <w:rPr>
                <w:sz w:val="20"/>
                <w:szCs w:val="20"/>
              </w:rPr>
              <w:t>Право собственности, наличие обременений: не зарегистрировано</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shd w:val="clear" w:color="auto" w:fill="FFFFFF"/>
              <w:jc w:val="left"/>
              <w:rPr>
                <w:color w:val="000000"/>
                <w:sz w:val="20"/>
                <w:szCs w:val="20"/>
              </w:rPr>
            </w:pPr>
            <w:r w:rsidRPr="00D84C5E">
              <w:rPr>
                <w:color w:val="000000"/>
                <w:sz w:val="20"/>
                <w:szCs w:val="20"/>
              </w:rPr>
              <w:t>Цель оценки</w:t>
            </w:r>
          </w:p>
        </w:tc>
        <w:tc>
          <w:tcPr>
            <w:tcW w:w="3439" w:type="pct"/>
            <w:tcMar>
              <w:top w:w="0" w:type="dxa"/>
              <w:left w:w="105" w:type="dxa"/>
              <w:bottom w:w="0" w:type="dxa"/>
              <w:right w:w="105" w:type="dxa"/>
            </w:tcMar>
            <w:vAlign w:val="center"/>
          </w:tcPr>
          <w:p w:rsidR="005F47E3" w:rsidRPr="00D84C5E" w:rsidRDefault="005F47E3" w:rsidP="004F4888">
            <w:pPr>
              <w:rPr>
                <w:sz w:val="20"/>
                <w:szCs w:val="20"/>
              </w:rPr>
            </w:pPr>
            <w:r w:rsidRPr="00D84C5E">
              <w:rPr>
                <w:sz w:val="20"/>
                <w:szCs w:val="20"/>
              </w:rPr>
              <w:t>Определение стоимости Объекта оценки</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shd w:val="clear" w:color="auto" w:fill="FFFFFF"/>
              <w:jc w:val="left"/>
              <w:rPr>
                <w:color w:val="000000"/>
                <w:sz w:val="20"/>
                <w:szCs w:val="20"/>
              </w:rPr>
            </w:pPr>
            <w:r w:rsidRPr="00D84C5E">
              <w:rPr>
                <w:color w:val="000000"/>
                <w:sz w:val="20"/>
                <w:szCs w:val="20"/>
              </w:rPr>
              <w:t>Предполагаемое использование результатов оценки (задачи проведения оценки)</w:t>
            </w:r>
          </w:p>
        </w:tc>
        <w:tc>
          <w:tcPr>
            <w:tcW w:w="3439" w:type="pct"/>
            <w:tcMar>
              <w:top w:w="0" w:type="dxa"/>
              <w:left w:w="105" w:type="dxa"/>
              <w:bottom w:w="0" w:type="dxa"/>
              <w:right w:w="105" w:type="dxa"/>
            </w:tcMar>
            <w:vAlign w:val="center"/>
          </w:tcPr>
          <w:p w:rsidR="005F47E3" w:rsidRPr="00217932" w:rsidRDefault="005F47E3" w:rsidP="004F4888">
            <w:pPr>
              <w:overflowPunct w:val="0"/>
              <w:autoSpaceDE w:val="0"/>
              <w:autoSpaceDN w:val="0"/>
              <w:adjustRightInd w:val="0"/>
              <w:textAlignment w:val="baseline"/>
              <w:rPr>
                <w:rFonts w:eastAsia="Calibri"/>
                <w:sz w:val="20"/>
                <w:szCs w:val="20"/>
                <w:lang w:eastAsia="en-US"/>
              </w:rPr>
            </w:pPr>
            <w:r w:rsidRPr="00217932">
              <w:rPr>
                <w:rFonts w:eastAsia="Calibri"/>
                <w:sz w:val="20"/>
                <w:szCs w:val="20"/>
                <w:lang w:eastAsia="en-US"/>
              </w:rPr>
              <w:t>Для целей выкупа акций у миноритарных акционеров с обязательным предложением о приобретении акций, согласно ст. 84.2 Федерального закона от 26.12.1995 № 208-ФЗ  «Об акционерных обществах»</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jc w:val="left"/>
              <w:rPr>
                <w:sz w:val="20"/>
                <w:szCs w:val="20"/>
              </w:rPr>
            </w:pPr>
            <w:r w:rsidRPr="00D84C5E">
              <w:rPr>
                <w:color w:val="000000"/>
                <w:sz w:val="20"/>
                <w:szCs w:val="20"/>
              </w:rPr>
              <w:t>Вид стоимости</w:t>
            </w:r>
          </w:p>
        </w:tc>
        <w:tc>
          <w:tcPr>
            <w:tcW w:w="3439" w:type="pct"/>
            <w:tcMar>
              <w:top w:w="0" w:type="dxa"/>
              <w:left w:w="105" w:type="dxa"/>
              <w:bottom w:w="0" w:type="dxa"/>
              <w:right w:w="105" w:type="dxa"/>
            </w:tcMar>
            <w:vAlign w:val="center"/>
          </w:tcPr>
          <w:p w:rsidR="005F47E3" w:rsidRPr="00D84C5E" w:rsidRDefault="005F47E3" w:rsidP="004F4888">
            <w:pPr>
              <w:overflowPunct w:val="0"/>
              <w:autoSpaceDE w:val="0"/>
              <w:autoSpaceDN w:val="0"/>
              <w:adjustRightInd w:val="0"/>
              <w:textAlignment w:val="baseline"/>
              <w:rPr>
                <w:sz w:val="20"/>
                <w:szCs w:val="20"/>
              </w:rPr>
            </w:pPr>
            <w:r w:rsidRPr="00D84C5E">
              <w:rPr>
                <w:b/>
                <w:i/>
                <w:sz w:val="20"/>
                <w:szCs w:val="20"/>
              </w:rPr>
              <w:t>Рыночная стоимость</w:t>
            </w:r>
            <w:r w:rsidRPr="00D84C5E">
              <w:rPr>
                <w:sz w:val="20"/>
                <w:szCs w:val="20"/>
              </w:rPr>
              <w:t xml:space="preserve"> – наиболее вероятная цена, по которой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одна из сторон сделки не обязана отчуждать объект оценки, а другая сторона не обязана принимать исполнение;</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стороны сделки хорошо осведомлены о предмете сделки и действуют в своих интересах;</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объект оценки представлен на открытом рынке посредством публичной оферты, типичной для аналогичных объектов оценки;</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цена сделки 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sz w:val="20"/>
                <w:szCs w:val="20"/>
              </w:rPr>
            </w:pPr>
            <w:r w:rsidRPr="00D84C5E">
              <w:rPr>
                <w:rFonts w:ascii="Times New Roman" w:hAnsi="Times New Roman"/>
                <w:color w:val="000000"/>
                <w:sz w:val="20"/>
                <w:szCs w:val="20"/>
              </w:rPr>
              <w:t>платеж за объект оценки выражен в денежной форме</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jc w:val="left"/>
              <w:rPr>
                <w:sz w:val="20"/>
                <w:szCs w:val="20"/>
              </w:rPr>
            </w:pPr>
            <w:r w:rsidRPr="00D84C5E">
              <w:rPr>
                <w:color w:val="000000"/>
                <w:sz w:val="20"/>
                <w:szCs w:val="20"/>
              </w:rPr>
              <w:t>Дата оценки (дата проведения оценки, дата определения стоимости)</w:t>
            </w:r>
          </w:p>
        </w:tc>
        <w:tc>
          <w:tcPr>
            <w:tcW w:w="3439" w:type="pct"/>
            <w:tcMar>
              <w:top w:w="0" w:type="dxa"/>
              <w:left w:w="105" w:type="dxa"/>
              <w:bottom w:w="0" w:type="dxa"/>
              <w:right w:w="105" w:type="dxa"/>
            </w:tcMar>
            <w:vAlign w:val="center"/>
          </w:tcPr>
          <w:p w:rsidR="005F47E3" w:rsidRPr="00D84C5E" w:rsidRDefault="005F47E3" w:rsidP="004F4888">
            <w:pPr>
              <w:rPr>
                <w:sz w:val="20"/>
                <w:szCs w:val="20"/>
              </w:rPr>
            </w:pPr>
            <w:r>
              <w:rPr>
                <w:sz w:val="20"/>
                <w:szCs w:val="20"/>
              </w:rPr>
              <w:t>26.03.2021</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jc w:val="left"/>
              <w:rPr>
                <w:color w:val="000000"/>
                <w:sz w:val="20"/>
                <w:szCs w:val="20"/>
              </w:rPr>
            </w:pPr>
            <w:r w:rsidRPr="00D84C5E">
              <w:rPr>
                <w:color w:val="000000"/>
                <w:sz w:val="20"/>
                <w:szCs w:val="20"/>
              </w:rPr>
              <w:t>Допущения, на которых должна основываться оценка</w:t>
            </w:r>
          </w:p>
        </w:tc>
        <w:tc>
          <w:tcPr>
            <w:tcW w:w="3439" w:type="pct"/>
            <w:shd w:val="clear" w:color="auto" w:fill="auto"/>
            <w:tcMar>
              <w:top w:w="0" w:type="dxa"/>
              <w:left w:w="105" w:type="dxa"/>
              <w:bottom w:w="0" w:type="dxa"/>
              <w:right w:w="105" w:type="dxa"/>
            </w:tcMar>
            <w:vAlign w:val="center"/>
          </w:tcPr>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В процессе подготовки Отчета об оценке, Исполнитель и Оценщики исходят из допущения о надежности и достоверности предоставленных Заказчиком документов и информации</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Копии предоставленных документов соответствуют оригиналам</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Ответственность за законность получения и достоверность предоставленных Заказчиком документов и информации несет Заказчик</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Исполнитель и Оценщики не проводят правовой экспертизы правоустанавливающих документов на Объект оценки. Если Оценщиками и Исполнителем не выявлены ограничения (обременения) прав, либо иные права/требования третьих лиц на Объект оценки, оценка проводится в предположении, что их не существует</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Оценка производится в предположении о том, что не существуют никакие скрытые факторы, влияющие на стоимость Объекта оценки, которые невозможно выявить в рамках компетенции Оценщиков в результате анализа представленных к оценке документов, информации, находившейся в открытом доступе к дате проведения оценки. Исполнитель и Оценщики не обязаны проводить работы по выявлению таких факторов и не несут ответственность в случае их выявления впоследствии</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Ни Отчет об оценке, ни какая-либо его часть не могут быть распространены в средствах массовой без предварительного письменного разрешения Исполнителя</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От Исполнителя и Оценщиков не требуется появляться в суде или свидетельствовать иным образом по поводу составленного Отчета об оценке или Объекта оценки, кроме как на основании отдельного договора с Заказчиком или официального вызова суда</w:t>
            </w:r>
          </w:p>
          <w:p w:rsidR="005F47E3" w:rsidRPr="00D84C5E" w:rsidRDefault="005F47E3" w:rsidP="005F47E3">
            <w:pPr>
              <w:pStyle w:val="a8"/>
              <w:numPr>
                <w:ilvl w:val="0"/>
                <w:numId w:val="3"/>
              </w:numPr>
              <w:snapToGrid w:val="0"/>
              <w:spacing w:after="0" w:afterAutospacing="0" w:line="240" w:lineRule="auto"/>
              <w:ind w:left="426" w:hanging="284"/>
              <w:rPr>
                <w:rFonts w:ascii="Times New Roman" w:hAnsi="Times New Roman"/>
                <w:color w:val="000000"/>
                <w:sz w:val="20"/>
                <w:szCs w:val="20"/>
              </w:rPr>
            </w:pPr>
            <w:r w:rsidRPr="00D84C5E">
              <w:rPr>
                <w:rFonts w:ascii="Times New Roman" w:hAnsi="Times New Roman"/>
                <w:color w:val="000000"/>
                <w:sz w:val="20"/>
                <w:szCs w:val="20"/>
              </w:rPr>
              <w:t>Заказчик принимает на себя обязательство заранее освободить Исполнителя и Оценщиков от всякого рода расходов и материальной ответственности, происходящих из иска третьих лиц, вследствие легального использования Отчета об оценке, кроме случаев, когда окончательным судебным порядком определено, что возникшие убытки, потери и задолженности явились следствием мошенничества, халатности или умышленно неправомочных действий со стороны Исполнителя или Оценщиков в процессе оказания услуг по проведению оценки и/или подготовке Отчета об оценке</w:t>
            </w:r>
          </w:p>
        </w:tc>
      </w:tr>
      <w:tr w:rsidR="005F47E3" w:rsidRPr="00D84C5E" w:rsidTr="004F4888">
        <w:trPr>
          <w:trHeight w:val="20"/>
        </w:trPr>
        <w:tc>
          <w:tcPr>
            <w:tcW w:w="1561" w:type="pct"/>
            <w:tcMar>
              <w:top w:w="0" w:type="dxa"/>
              <w:left w:w="105" w:type="dxa"/>
              <w:bottom w:w="0" w:type="dxa"/>
              <w:right w:w="105" w:type="dxa"/>
            </w:tcMar>
            <w:vAlign w:val="center"/>
          </w:tcPr>
          <w:p w:rsidR="005F47E3" w:rsidRPr="00D84C5E" w:rsidRDefault="005F47E3" w:rsidP="004F4888">
            <w:pPr>
              <w:jc w:val="left"/>
              <w:rPr>
                <w:color w:val="000000"/>
                <w:sz w:val="20"/>
                <w:szCs w:val="20"/>
              </w:rPr>
            </w:pPr>
            <w:r w:rsidRPr="00D84C5E">
              <w:rPr>
                <w:color w:val="000000"/>
                <w:sz w:val="20"/>
                <w:szCs w:val="20"/>
              </w:rPr>
              <w:t>Требования к предоставлению итоговой величины стоимости объекта оценки в Отчете</w:t>
            </w:r>
          </w:p>
        </w:tc>
        <w:tc>
          <w:tcPr>
            <w:tcW w:w="3439" w:type="pct"/>
            <w:shd w:val="clear" w:color="auto" w:fill="auto"/>
            <w:tcMar>
              <w:top w:w="0" w:type="dxa"/>
              <w:left w:w="105" w:type="dxa"/>
              <w:bottom w:w="0" w:type="dxa"/>
              <w:right w:w="105" w:type="dxa"/>
            </w:tcMar>
          </w:tcPr>
          <w:p w:rsidR="005F47E3" w:rsidRPr="00D84C5E" w:rsidRDefault="005F47E3" w:rsidP="004F4888">
            <w:pPr>
              <w:rPr>
                <w:sz w:val="20"/>
                <w:szCs w:val="20"/>
              </w:rPr>
            </w:pPr>
            <w:r w:rsidRPr="00D84C5E">
              <w:rPr>
                <w:color w:val="000000"/>
                <w:sz w:val="20"/>
                <w:szCs w:val="20"/>
              </w:rPr>
              <w:t>Итоговая величина стоимости Объекта оценки в Отчете об оценке должна быть представлена в виде конкретного числа (без указания границ интервала, в котором может находиться стоимость)</w:t>
            </w:r>
          </w:p>
        </w:tc>
      </w:tr>
    </w:tbl>
    <w:p w:rsidR="005F47E3" w:rsidRDefault="005F47E3" w:rsidP="005F47E3">
      <w:pPr>
        <w:widowControl w:val="0"/>
        <w:rPr>
          <w:i/>
          <w:iCs/>
          <w:sz w:val="20"/>
        </w:rPr>
      </w:pPr>
      <w:r w:rsidRPr="00927784">
        <w:rPr>
          <w:i/>
          <w:iCs/>
          <w:sz w:val="20"/>
        </w:rPr>
        <w:t xml:space="preserve">Источник: договор </w:t>
      </w:r>
      <w:r>
        <w:rPr>
          <w:i/>
          <w:iCs/>
          <w:sz w:val="20"/>
        </w:rPr>
        <w:t xml:space="preserve">на </w:t>
      </w:r>
      <w:r w:rsidRPr="00BD5694">
        <w:rPr>
          <w:i/>
          <w:iCs/>
          <w:sz w:val="20"/>
        </w:rPr>
        <w:t xml:space="preserve">оказание услуг по оценке </w:t>
      </w:r>
      <w:r w:rsidRPr="00CD753E">
        <w:rPr>
          <w:i/>
          <w:iCs/>
          <w:sz w:val="20"/>
        </w:rPr>
        <w:t>Д20-04-21/02</w:t>
      </w:r>
      <w:r>
        <w:rPr>
          <w:i/>
          <w:iCs/>
          <w:sz w:val="20"/>
        </w:rPr>
        <w:t xml:space="preserve"> </w:t>
      </w:r>
      <w:r w:rsidRPr="00BD5694">
        <w:rPr>
          <w:i/>
          <w:iCs/>
          <w:sz w:val="20"/>
        </w:rPr>
        <w:t xml:space="preserve">от </w:t>
      </w:r>
      <w:r w:rsidRPr="00CD753E">
        <w:rPr>
          <w:i/>
          <w:iCs/>
          <w:sz w:val="20"/>
        </w:rPr>
        <w:t>20.04.2021г</w:t>
      </w:r>
      <w:r>
        <w:rPr>
          <w:i/>
          <w:iCs/>
          <w:sz w:val="20"/>
        </w:rPr>
        <w:t xml:space="preserve"> </w:t>
      </w:r>
      <w:r w:rsidRPr="00930D5D">
        <w:rPr>
          <w:i/>
          <w:iCs/>
          <w:sz w:val="20"/>
        </w:rPr>
        <w:t>и Дополнительное соглашение № 1 к Договору от 11.05.2021</w:t>
      </w:r>
    </w:p>
    <w:p w:rsidR="00414089" w:rsidRDefault="00414089"/>
    <w:sectPr w:rsidR="004140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B0" w:rsidRDefault="00C201B0" w:rsidP="005F47E3">
      <w:r>
        <w:separator/>
      </w:r>
    </w:p>
  </w:endnote>
  <w:endnote w:type="continuationSeparator" w:id="0">
    <w:p w:rsidR="00C201B0" w:rsidRDefault="00C201B0" w:rsidP="005F4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B0" w:rsidRDefault="00C201B0" w:rsidP="005F47E3">
      <w:r>
        <w:separator/>
      </w:r>
    </w:p>
  </w:footnote>
  <w:footnote w:type="continuationSeparator" w:id="0">
    <w:p w:rsidR="00C201B0" w:rsidRDefault="00C201B0" w:rsidP="005F47E3">
      <w:r>
        <w:continuationSeparator/>
      </w:r>
    </w:p>
  </w:footnote>
  <w:footnote w:id="1">
    <w:p w:rsidR="005F47E3" w:rsidRDefault="005F47E3" w:rsidP="005F47E3">
      <w:pPr>
        <w:pStyle w:val="a5"/>
        <w:rPr>
          <w:sz w:val="18"/>
          <w:szCs w:val="18"/>
        </w:rPr>
      </w:pPr>
      <w:r w:rsidRPr="00B87A73">
        <w:rPr>
          <w:rStyle w:val="a7"/>
        </w:rPr>
        <w:footnoteRef/>
      </w:r>
      <w:r w:rsidRPr="00B87A73">
        <w:t xml:space="preserve"> </w:t>
      </w:r>
      <w:r w:rsidRPr="00853892">
        <w:t>Операции по реализации ценных бумаг не подлежат налогообложению НДС в соответствии с пп.12 п.2 ст. 149 НК РФ</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C70EA"/>
    <w:multiLevelType w:val="multilevel"/>
    <w:tmpl w:val="7AAC7C02"/>
    <w:lvl w:ilvl="0">
      <w:start w:val="1"/>
      <w:numFmt w:val="decimal"/>
      <w:lvlText w:val="%1."/>
      <w:lvlJc w:val="left"/>
      <w:pPr>
        <w:ind w:left="5747" w:hanging="360"/>
      </w:pPr>
    </w:lvl>
    <w:lvl w:ilvl="1">
      <w:start w:val="1"/>
      <w:numFmt w:val="decimal"/>
      <w:isLgl/>
      <w:lvlText w:val="%1.%2."/>
      <w:lvlJc w:val="left"/>
      <w:pPr>
        <w:ind w:left="2299" w:hanging="51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367" w:hanging="720"/>
      </w:pPr>
      <w:rPr>
        <w:rFonts w:hint="default"/>
      </w:rPr>
    </w:lvl>
    <w:lvl w:ilvl="4">
      <w:start w:val="1"/>
      <w:numFmt w:val="decimal"/>
      <w:isLgl/>
      <w:lvlText w:val="%1.%2.%3.%4.%5."/>
      <w:lvlJc w:val="left"/>
      <w:pPr>
        <w:ind w:left="7156" w:hanging="1080"/>
      </w:pPr>
      <w:rPr>
        <w:rFonts w:hint="default"/>
      </w:rPr>
    </w:lvl>
    <w:lvl w:ilvl="5">
      <w:start w:val="1"/>
      <w:numFmt w:val="decimal"/>
      <w:isLgl/>
      <w:lvlText w:val="%1.%2.%3.%4.%5.%6."/>
      <w:lvlJc w:val="left"/>
      <w:pPr>
        <w:ind w:left="8585" w:hanging="1080"/>
      </w:pPr>
      <w:rPr>
        <w:rFonts w:hint="default"/>
      </w:rPr>
    </w:lvl>
    <w:lvl w:ilvl="6">
      <w:start w:val="1"/>
      <w:numFmt w:val="decimal"/>
      <w:isLgl/>
      <w:lvlText w:val="%1.%2.%3.%4.%5.%6.%7."/>
      <w:lvlJc w:val="left"/>
      <w:pPr>
        <w:ind w:left="10374" w:hanging="1440"/>
      </w:pPr>
      <w:rPr>
        <w:rFonts w:hint="default"/>
      </w:rPr>
    </w:lvl>
    <w:lvl w:ilvl="7">
      <w:start w:val="1"/>
      <w:numFmt w:val="decimal"/>
      <w:isLgl/>
      <w:lvlText w:val="%1.%2.%3.%4.%5.%6.%7.%8."/>
      <w:lvlJc w:val="left"/>
      <w:pPr>
        <w:ind w:left="11803" w:hanging="1440"/>
      </w:pPr>
      <w:rPr>
        <w:rFonts w:hint="default"/>
      </w:rPr>
    </w:lvl>
    <w:lvl w:ilvl="8">
      <w:start w:val="1"/>
      <w:numFmt w:val="decimal"/>
      <w:isLgl/>
      <w:lvlText w:val="%1.%2.%3.%4.%5.%6.%7.%8.%9."/>
      <w:lvlJc w:val="left"/>
      <w:pPr>
        <w:ind w:left="13592" w:hanging="1800"/>
      </w:pPr>
      <w:rPr>
        <w:rFonts w:hint="default"/>
      </w:rPr>
    </w:lvl>
  </w:abstractNum>
  <w:abstractNum w:abstractNumId="1" w15:restartNumberingAfterBreak="0">
    <w:nsid w:val="5C17248F"/>
    <w:multiLevelType w:val="hybridMultilevel"/>
    <w:tmpl w:val="77B26CC2"/>
    <w:lvl w:ilvl="0" w:tplc="9D5C6274">
      <w:start w:val="1"/>
      <w:numFmt w:val="bullet"/>
      <w:lvlText w:val=""/>
      <w:lvlJc w:val="left"/>
      <w:pPr>
        <w:ind w:left="838" w:hanging="360"/>
      </w:pPr>
      <w:rPr>
        <w:rFonts w:ascii="Symbol" w:hAnsi="Symbol" w:hint="default"/>
      </w:rPr>
    </w:lvl>
    <w:lvl w:ilvl="1" w:tplc="04190003" w:tentative="1">
      <w:start w:val="1"/>
      <w:numFmt w:val="bullet"/>
      <w:lvlText w:val="o"/>
      <w:lvlJc w:val="left"/>
      <w:pPr>
        <w:ind w:left="1558" w:hanging="360"/>
      </w:pPr>
      <w:rPr>
        <w:rFonts w:ascii="Courier New" w:hAnsi="Courier New" w:cs="Courier New" w:hint="default"/>
      </w:rPr>
    </w:lvl>
    <w:lvl w:ilvl="2" w:tplc="04190005" w:tentative="1">
      <w:start w:val="1"/>
      <w:numFmt w:val="bullet"/>
      <w:lvlText w:val=""/>
      <w:lvlJc w:val="left"/>
      <w:pPr>
        <w:ind w:left="2278" w:hanging="360"/>
      </w:pPr>
      <w:rPr>
        <w:rFonts w:ascii="Wingdings" w:hAnsi="Wingdings" w:hint="default"/>
      </w:rPr>
    </w:lvl>
    <w:lvl w:ilvl="3" w:tplc="04190001" w:tentative="1">
      <w:start w:val="1"/>
      <w:numFmt w:val="bullet"/>
      <w:lvlText w:val=""/>
      <w:lvlJc w:val="left"/>
      <w:pPr>
        <w:ind w:left="2998" w:hanging="360"/>
      </w:pPr>
      <w:rPr>
        <w:rFonts w:ascii="Symbol" w:hAnsi="Symbol" w:hint="default"/>
      </w:rPr>
    </w:lvl>
    <w:lvl w:ilvl="4" w:tplc="04190003" w:tentative="1">
      <w:start w:val="1"/>
      <w:numFmt w:val="bullet"/>
      <w:lvlText w:val="o"/>
      <w:lvlJc w:val="left"/>
      <w:pPr>
        <w:ind w:left="3718" w:hanging="360"/>
      </w:pPr>
      <w:rPr>
        <w:rFonts w:ascii="Courier New" w:hAnsi="Courier New" w:cs="Courier New" w:hint="default"/>
      </w:rPr>
    </w:lvl>
    <w:lvl w:ilvl="5" w:tplc="04190005" w:tentative="1">
      <w:start w:val="1"/>
      <w:numFmt w:val="bullet"/>
      <w:lvlText w:val=""/>
      <w:lvlJc w:val="left"/>
      <w:pPr>
        <w:ind w:left="4438" w:hanging="360"/>
      </w:pPr>
      <w:rPr>
        <w:rFonts w:ascii="Wingdings" w:hAnsi="Wingdings" w:hint="default"/>
      </w:rPr>
    </w:lvl>
    <w:lvl w:ilvl="6" w:tplc="04190001" w:tentative="1">
      <w:start w:val="1"/>
      <w:numFmt w:val="bullet"/>
      <w:lvlText w:val=""/>
      <w:lvlJc w:val="left"/>
      <w:pPr>
        <w:ind w:left="5158" w:hanging="360"/>
      </w:pPr>
      <w:rPr>
        <w:rFonts w:ascii="Symbol" w:hAnsi="Symbol" w:hint="default"/>
      </w:rPr>
    </w:lvl>
    <w:lvl w:ilvl="7" w:tplc="04190003" w:tentative="1">
      <w:start w:val="1"/>
      <w:numFmt w:val="bullet"/>
      <w:lvlText w:val="o"/>
      <w:lvlJc w:val="left"/>
      <w:pPr>
        <w:ind w:left="5878" w:hanging="360"/>
      </w:pPr>
      <w:rPr>
        <w:rFonts w:ascii="Courier New" w:hAnsi="Courier New" w:cs="Courier New" w:hint="default"/>
      </w:rPr>
    </w:lvl>
    <w:lvl w:ilvl="8" w:tplc="04190005" w:tentative="1">
      <w:start w:val="1"/>
      <w:numFmt w:val="bullet"/>
      <w:lvlText w:val=""/>
      <w:lvlJc w:val="left"/>
      <w:pPr>
        <w:ind w:left="6598" w:hanging="360"/>
      </w:pPr>
      <w:rPr>
        <w:rFonts w:ascii="Wingdings" w:hAnsi="Wingdings" w:hint="default"/>
      </w:rPr>
    </w:lvl>
  </w:abstractNum>
  <w:abstractNum w:abstractNumId="2" w15:restartNumberingAfterBreak="0">
    <w:nsid w:val="71504977"/>
    <w:multiLevelType w:val="hybridMultilevel"/>
    <w:tmpl w:val="375632E8"/>
    <w:lvl w:ilvl="0" w:tplc="7B6418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7E3"/>
    <w:rsid w:val="00414089"/>
    <w:rsid w:val="004E4C27"/>
    <w:rsid w:val="005F47E3"/>
    <w:rsid w:val="00C201B0"/>
    <w:rsid w:val="00D80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777F8-836B-4E68-9B3C-E62A8B7E3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7E3"/>
    <w:pPr>
      <w:spacing w:after="0" w:line="240" w:lineRule="auto"/>
      <w:jc w:val="both"/>
    </w:pPr>
    <w:rPr>
      <w:rFonts w:ascii="Times New Roman" w:eastAsia="Times New Roman" w:hAnsi="Times New Roman" w:cs="Times New Roman"/>
      <w:sz w:val="24"/>
      <w:szCs w:val="24"/>
      <w:lang w:eastAsia="ru-RU"/>
    </w:rPr>
  </w:style>
  <w:style w:type="paragraph" w:styleId="1">
    <w:name w:val="heading 1"/>
    <w:aliases w:val="Раздел,Title 1,Раздел Знак,Title 1 Знак,Head 1,????????? 1,Заголов,Ç1,Заголовок 1 Знак1,Заголовок 1 Знак1 Знак Знак,Заголовок 1 Знак1 Знак1 Знак,Заголовок 1 Знак1 Знак,Заголовок 1 Знак1 Знак1,Заголовок 1-2к,2К Заголовок 1,5 Заголовок главы"/>
    <w:basedOn w:val="a"/>
    <w:next w:val="a"/>
    <w:link w:val="10"/>
    <w:qFormat/>
    <w:rsid w:val="005F47E3"/>
    <w:pPr>
      <w:keepNext/>
      <w:jc w:val="center"/>
      <w:outlineLvl w:val="0"/>
    </w:pPr>
    <w:rPr>
      <w:b/>
      <w:caps/>
      <w:w w:val="200"/>
      <w:sz w:val="40"/>
      <w:szCs w:val="20"/>
    </w:rPr>
  </w:style>
  <w:style w:type="paragraph" w:styleId="2">
    <w:name w:val="heading 2"/>
    <w:aliases w:val="Sub heading,Заголовок 2-2К,2К Заголовок 2,Заголовок 2 2К,numbered indent 2,ni2,h2,Hanging 2 Indent,Header 2,Numbered indent 2,Стиль 1,heading2,section 1.1,heading 2,Heading 2 Hidden,B Heading,2,l2,Level 2 Head,A.B.C.,Head2,Level 2,A,Paragrap"/>
    <w:basedOn w:val="a"/>
    <w:next w:val="a"/>
    <w:link w:val="20"/>
    <w:qFormat/>
    <w:rsid w:val="005F47E3"/>
    <w:pPr>
      <w:keepNext/>
      <w:spacing w:line="360" w:lineRule="auto"/>
      <w:jc w:val="center"/>
      <w:outlineLvl w:val="1"/>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Title 1 Знак1,Раздел Знак Знак,Title 1 Знак Знак,Head 1 Знак,????????? 1 Знак,Заголов Знак,Ç1 Знак,Заголовок 1 Знак1 Знак2,Заголовок 1 Знак1 Знак Знак Знак,Заголовок 1 Знак1 Знак1 Знак Знак,Заголовок 1 Знак1 Знак Знак1"/>
    <w:basedOn w:val="a0"/>
    <w:link w:val="1"/>
    <w:rsid w:val="005F47E3"/>
    <w:rPr>
      <w:rFonts w:ascii="Times New Roman" w:eastAsia="Times New Roman" w:hAnsi="Times New Roman" w:cs="Times New Roman"/>
      <w:b/>
      <w:caps/>
      <w:w w:val="200"/>
      <w:sz w:val="40"/>
      <w:szCs w:val="20"/>
      <w:lang w:eastAsia="ru-RU"/>
    </w:rPr>
  </w:style>
  <w:style w:type="character" w:customStyle="1" w:styleId="20">
    <w:name w:val="Заголовок 2 Знак"/>
    <w:aliases w:val="Sub heading Знак,Заголовок 2-2К Знак,2К Заголовок 2 Знак,Заголовок 2 2К Знак,numbered indent 2 Знак,ni2 Знак,h2 Знак,Hanging 2 Indent Знак,Header 2 Знак,Numbered indent 2 Знак,Стиль 1 Знак,heading2 Знак,section 1.1 Знак,heading 2 Знак"/>
    <w:basedOn w:val="a0"/>
    <w:link w:val="2"/>
    <w:rsid w:val="005F47E3"/>
    <w:rPr>
      <w:rFonts w:ascii="Times New Roman" w:eastAsia="Times New Roman" w:hAnsi="Times New Roman" w:cs="Times New Roman"/>
      <w:b/>
      <w:sz w:val="32"/>
      <w:szCs w:val="20"/>
      <w:lang w:eastAsia="ru-RU"/>
    </w:rPr>
  </w:style>
  <w:style w:type="paragraph" w:styleId="a3">
    <w:name w:val="List Paragraph"/>
    <w:aliases w:val="Нумерованный,Варианты ответов,Абзац списка4,Уровент 2.2,List Paragraph,Список точки,СПИСОК,Глава,Цветной список - Акцент 11,Абзац списка 2,Нумерация,Булит,Маркер,Bullet Number,Нумерованый список,Bullet List,FooterText,numbered,lp1,назван"/>
    <w:basedOn w:val="a"/>
    <w:link w:val="a4"/>
    <w:uiPriority w:val="99"/>
    <w:qFormat/>
    <w:rsid w:val="005F47E3"/>
    <w:pPr>
      <w:spacing w:after="200" w:line="276" w:lineRule="auto"/>
      <w:ind w:left="720"/>
      <w:contextualSpacing/>
      <w:jc w:val="left"/>
    </w:pPr>
    <w:rPr>
      <w:rFonts w:ascii="Calibri" w:eastAsia="Calibri" w:hAnsi="Calibri"/>
      <w:sz w:val="22"/>
      <w:szCs w:val="22"/>
      <w:lang w:eastAsia="en-US"/>
    </w:rPr>
  </w:style>
  <w:style w:type="paragraph" w:styleId="a5">
    <w:name w:val="footnote text"/>
    <w:aliases w:val="Table_Footnote_last,Текст сноски Знак1 Знак1, Знак Знак Знак,Текст сноски Знак1 Знак Знак,Текст сноски Знак Знак Знак Знак,Текст сноски Знак1 Знак Знак1 Знак,Текст сноски Знак Знак Знак Знак1 Знак,Текст сноски Знак1,Знак Знак Знак,Зна,З,Зн"/>
    <w:basedOn w:val="a"/>
    <w:link w:val="a6"/>
    <w:qFormat/>
    <w:rsid w:val="005F47E3"/>
    <w:pPr>
      <w:jc w:val="left"/>
    </w:pPr>
    <w:rPr>
      <w:sz w:val="20"/>
      <w:szCs w:val="20"/>
    </w:rPr>
  </w:style>
  <w:style w:type="character" w:customStyle="1" w:styleId="a6">
    <w:name w:val="Текст сноски Знак"/>
    <w:aliases w:val="Table_Footnote_last Знак,Текст сноски Знак1 Знак1 Знак, Знак Знак Знак Знак,Текст сноски Знак1 Знак Знак Знак,Текст сноски Знак Знак Знак Знак Знак,Текст сноски Знак1 Знак Знак1 Знак Знак,Текст сноски Знак Знак Знак Знак1 Знак Знак"/>
    <w:basedOn w:val="a0"/>
    <w:link w:val="a5"/>
    <w:qFormat/>
    <w:rsid w:val="005F47E3"/>
    <w:rPr>
      <w:rFonts w:ascii="Times New Roman" w:eastAsia="Times New Roman" w:hAnsi="Times New Roman" w:cs="Times New Roman"/>
      <w:sz w:val="20"/>
      <w:szCs w:val="20"/>
      <w:lang w:eastAsia="ru-RU"/>
    </w:rPr>
  </w:style>
  <w:style w:type="character" w:styleId="a7">
    <w:name w:val="footnote reference"/>
    <w:aliases w:val="Знак сноски 1,Знак сноски-FN,Ciae niinee-FN,Referencia nota al pie,ftref,сноска,fr,Used by Word for Help footnote symbols,Знак сноски1,Знак сноски итог,вески,SUPERS,Текст сноски Знак2 Знак Знак1,Текст сноски Знак1 Знак Знак Знак1,ХИА_ЗС,СНОС"/>
    <w:basedOn w:val="a0"/>
    <w:qFormat/>
    <w:rsid w:val="005F47E3"/>
    <w:rPr>
      <w:vertAlign w:val="superscript"/>
    </w:rPr>
  </w:style>
  <w:style w:type="paragraph" w:styleId="a8">
    <w:name w:val="Body Text Indent"/>
    <w:aliases w:val="Основной текст с отступом Знак2,Основной текст с отступом Знак1 Знак,Основной текст с отступом Знак Знак Знак,Основной текст с отступом Знак Знак1,Основной текст с отступом Знак1,Основной текст с отступом Знак Знак,Надин стиль"/>
    <w:basedOn w:val="a"/>
    <w:link w:val="a9"/>
    <w:qFormat/>
    <w:rsid w:val="005F47E3"/>
    <w:pPr>
      <w:spacing w:after="120" w:afterAutospacing="1" w:line="360" w:lineRule="auto"/>
      <w:ind w:left="283"/>
    </w:pPr>
    <w:rPr>
      <w:rFonts w:ascii="Arial Narrow" w:hAnsi="Arial Narrow"/>
    </w:rPr>
  </w:style>
  <w:style w:type="character" w:customStyle="1" w:styleId="a9">
    <w:name w:val="Основной текст с отступом Знак"/>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Основной текст с отступом Знак1 Знак1,Надин стиль Знак"/>
    <w:basedOn w:val="a0"/>
    <w:link w:val="a8"/>
    <w:rsid w:val="005F47E3"/>
    <w:rPr>
      <w:rFonts w:ascii="Arial Narrow" w:eastAsia="Times New Roman" w:hAnsi="Arial Narrow" w:cs="Times New Roman"/>
      <w:sz w:val="24"/>
      <w:szCs w:val="24"/>
      <w:lang w:eastAsia="ru-RU"/>
    </w:rPr>
  </w:style>
  <w:style w:type="character" w:customStyle="1" w:styleId="a4">
    <w:name w:val="Абзац списка Знак"/>
    <w:aliases w:val="Нумерованный Знак,Варианты ответов Знак,Абзац списка4 Знак,Уровент 2.2 Знак,List Paragraph Знак,Список точки Знак,СПИСОК Знак,Глава Знак,Цветной список - Акцент 11 Знак,Абзац списка 2 Знак,Нумерация Знак,Булит Знак,Маркер Знак,lp1 Знак"/>
    <w:link w:val="a3"/>
    <w:uiPriority w:val="99"/>
    <w:rsid w:val="005F47E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 V. Vukolova</dc:creator>
  <cp:lastModifiedBy>Горлицына Елена Владимировна</cp:lastModifiedBy>
  <cp:revision>2</cp:revision>
  <dcterms:created xsi:type="dcterms:W3CDTF">2021-08-11T08:31:00Z</dcterms:created>
  <dcterms:modified xsi:type="dcterms:W3CDTF">2021-08-11T08:31:00Z</dcterms:modified>
</cp:coreProperties>
</file>